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FE5A61" w14:textId="3BDE9675" w:rsidR="00B1054A" w:rsidRPr="00D03FA3" w:rsidRDefault="00B1054A" w:rsidP="00B1054A">
      <w:pPr>
        <w:pStyle w:val="m2mm2"/>
        <w:widowControl/>
        <w:spacing w:before="560"/>
        <w:ind w:left="0" w:firstLine="0"/>
        <w:rPr>
          <w:color w:val="auto"/>
          <w:sz w:val="24"/>
          <w:szCs w:val="24"/>
          <w:lang w:val="nb-NO"/>
        </w:rPr>
      </w:pPr>
      <w:r w:rsidRPr="00B1054A">
        <w:rPr>
          <w:lang w:val="nb-NO"/>
        </w:rPr>
        <w:t>Dividende kontra vekst</w:t>
      </w:r>
    </w:p>
    <w:p w14:paraId="0BAEF1F3" w14:textId="77777777" w:rsidR="00274494" w:rsidRDefault="00274494" w:rsidP="003E024E">
      <w:pPr>
        <w:pStyle w:val="b1fb1"/>
        <w:ind w:firstLine="0"/>
        <w:rPr>
          <w:b/>
          <w:w w:val="100"/>
          <w:sz w:val="28"/>
          <w:szCs w:val="28"/>
        </w:rPr>
      </w:pPr>
    </w:p>
    <w:p w14:paraId="591510E6" w14:textId="74F22D25" w:rsidR="00E36653" w:rsidRPr="004F28F7" w:rsidRDefault="00E36653" w:rsidP="003E024E">
      <w:pPr>
        <w:pStyle w:val="b1fb1"/>
        <w:ind w:firstLine="0"/>
        <w:rPr>
          <w:rFonts w:ascii="Times New Roman" w:hAnsi="Times New Roman" w:cs="Times New Roman"/>
          <w:w w:val="100"/>
          <w:sz w:val="21"/>
          <w:szCs w:val="21"/>
        </w:rPr>
      </w:pPr>
      <w:r w:rsidRPr="004F28F7">
        <w:rPr>
          <w:rFonts w:ascii="Times New Roman" w:hAnsi="Times New Roman" w:cs="Times New Roman"/>
          <w:w w:val="100"/>
          <w:sz w:val="21"/>
          <w:szCs w:val="21"/>
        </w:rPr>
        <w:t xml:space="preserve">Utgangspunktet er dividendemodellen </w:t>
      </w:r>
      <w:r w:rsidR="008F4FA4" w:rsidRPr="004F28F7">
        <w:rPr>
          <w:rFonts w:ascii="Times New Roman" w:hAnsi="Times New Roman" w:cs="Times New Roman"/>
          <w:w w:val="100"/>
          <w:sz w:val="21"/>
          <w:szCs w:val="21"/>
        </w:rPr>
        <w:t xml:space="preserve">fra </w:t>
      </w:r>
      <w:r w:rsidR="00846D95" w:rsidRPr="004F28F7">
        <w:rPr>
          <w:rFonts w:ascii="Times New Roman" w:hAnsi="Times New Roman" w:cs="Times New Roman"/>
          <w:w w:val="100"/>
          <w:sz w:val="21"/>
          <w:szCs w:val="21"/>
        </w:rPr>
        <w:t xml:space="preserve">(5.9) </w:t>
      </w:r>
      <w:r w:rsidR="008F4FA4" w:rsidRPr="004F28F7">
        <w:rPr>
          <w:rFonts w:ascii="Times New Roman" w:hAnsi="Times New Roman" w:cs="Times New Roman"/>
          <w:w w:val="100"/>
          <w:sz w:val="21"/>
          <w:szCs w:val="21"/>
        </w:rPr>
        <w:t>i</w:t>
      </w:r>
      <w:r w:rsidRPr="004F28F7">
        <w:rPr>
          <w:rFonts w:ascii="Times New Roman" w:hAnsi="Times New Roman" w:cs="Times New Roman"/>
          <w:w w:val="100"/>
          <w:sz w:val="21"/>
          <w:szCs w:val="21"/>
        </w:rPr>
        <w:t xml:space="preserve"> læreboken:</w:t>
      </w:r>
    </w:p>
    <w:p w14:paraId="5C349F9D" w14:textId="2E713D0D" w:rsidR="00E36653" w:rsidRPr="004F28F7" w:rsidRDefault="00846D95" w:rsidP="003E024E">
      <w:pPr>
        <w:pStyle w:val="b1fb1"/>
        <w:ind w:firstLine="0"/>
        <w:rPr>
          <w:rFonts w:ascii="Times New Roman" w:hAnsi="Times New Roman" w:cs="Times New Roman"/>
        </w:rPr>
      </w:pPr>
      <w:r w:rsidRPr="004F28F7">
        <w:rPr>
          <w:rFonts w:ascii="Times New Roman" w:hAnsi="Times New Roman" w:cs="Times New Roman"/>
        </w:rPr>
        <w:t>(5.9)</w:t>
      </w:r>
      <w:r w:rsidRPr="004F28F7">
        <w:rPr>
          <w:rFonts w:ascii="Times New Roman" w:hAnsi="Times New Roman" w:cs="Times New Roman"/>
        </w:rPr>
        <w:tab/>
      </w:r>
      <w:r w:rsidR="00E36653" w:rsidRPr="004F28F7">
        <w:rPr>
          <w:rFonts w:ascii="Times New Roman" w:hAnsi="Times New Roman" w:cs="Times New Roman"/>
        </w:rPr>
        <w:tab/>
      </w:r>
      <w:r w:rsidR="00A21718" w:rsidRPr="00A21718">
        <w:rPr>
          <w:rFonts w:ascii="Times New Roman" w:hAnsi="Times New Roman" w:cs="Times New Roman"/>
          <w:position w:val="-52"/>
        </w:rPr>
        <w:object w:dxaOrig="1280" w:dyaOrig="1140" w14:anchorId="345FF6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95pt;height:56.95pt" o:ole="">
            <v:imagedata r:id="rId6" o:title=""/>
          </v:shape>
          <o:OLEObject Type="Embed" ProgID="Equation.DSMT4" ShapeID="_x0000_i1025" DrawAspect="Content" ObjectID="_1509796801" r:id="rId7"/>
        </w:object>
      </w:r>
    </w:p>
    <w:p w14:paraId="70E82322" w14:textId="77777777" w:rsidR="00E36653" w:rsidRPr="004F28F7" w:rsidRDefault="00E36653" w:rsidP="003E024E">
      <w:pPr>
        <w:pStyle w:val="b1fb1"/>
        <w:ind w:firstLine="0"/>
        <w:rPr>
          <w:rFonts w:ascii="Times New Roman" w:hAnsi="Times New Roman" w:cs="Times New Roman"/>
          <w:w w:val="100"/>
          <w:sz w:val="21"/>
          <w:szCs w:val="21"/>
        </w:rPr>
      </w:pPr>
    </w:p>
    <w:p w14:paraId="310997F7" w14:textId="2649F184" w:rsidR="003E024E" w:rsidRPr="004F28F7" w:rsidRDefault="003E024E" w:rsidP="003E024E">
      <w:pPr>
        <w:pStyle w:val="b1fb1"/>
        <w:ind w:firstLine="0"/>
        <w:rPr>
          <w:rFonts w:ascii="Times New Roman" w:hAnsi="Times New Roman" w:cs="Times New Roman"/>
          <w:w w:val="100"/>
          <w:sz w:val="21"/>
          <w:szCs w:val="21"/>
        </w:rPr>
      </w:pPr>
      <w:r w:rsidRPr="004F28F7">
        <w:rPr>
          <w:rFonts w:ascii="Times New Roman" w:hAnsi="Times New Roman" w:cs="Times New Roman"/>
          <w:w w:val="100"/>
          <w:sz w:val="21"/>
          <w:szCs w:val="21"/>
        </w:rPr>
        <w:t>Innenfor dividendemodellen kan kravet til lønnsom vekst be</w:t>
      </w:r>
      <w:r w:rsidR="008F4FA4" w:rsidRPr="004F28F7">
        <w:rPr>
          <w:rFonts w:ascii="Times New Roman" w:hAnsi="Times New Roman" w:cs="Times New Roman"/>
          <w:w w:val="100"/>
          <w:sz w:val="21"/>
          <w:szCs w:val="21"/>
        </w:rPr>
        <w:t>grunnes med utgangspunkt i følgende sammenheng</w:t>
      </w:r>
      <w:r w:rsidRPr="004F28F7">
        <w:rPr>
          <w:rFonts w:ascii="Times New Roman" w:hAnsi="Times New Roman" w:cs="Times New Roman"/>
          <w:w w:val="100"/>
          <w:sz w:val="21"/>
          <w:szCs w:val="21"/>
        </w:rPr>
        <w:t>:</w:t>
      </w:r>
    </w:p>
    <w:p w14:paraId="5817AFF4" w14:textId="77777777" w:rsidR="003E024E" w:rsidRPr="004F28F7" w:rsidRDefault="003E024E" w:rsidP="003E024E">
      <w:pPr>
        <w:pStyle w:val="b1fb1"/>
        <w:ind w:firstLine="0"/>
        <w:rPr>
          <w:rFonts w:ascii="Times New Roman" w:hAnsi="Times New Roman" w:cs="Times New Roman"/>
          <w:w w:val="100"/>
          <w:sz w:val="21"/>
          <w:szCs w:val="21"/>
        </w:rPr>
      </w:pPr>
    </w:p>
    <w:p w14:paraId="1FC5F996" w14:textId="28E2DBED" w:rsidR="003E024E" w:rsidRPr="004F28F7" w:rsidRDefault="003E024E" w:rsidP="003E024E">
      <w:pPr>
        <w:pStyle w:val="b1fb1"/>
        <w:ind w:firstLine="0"/>
        <w:rPr>
          <w:rFonts w:ascii="Times New Roman" w:hAnsi="Times New Roman" w:cs="Times New Roman"/>
          <w:w w:val="100"/>
          <w:sz w:val="21"/>
          <w:szCs w:val="21"/>
        </w:rPr>
      </w:pPr>
      <w:r w:rsidRPr="004F28F7">
        <w:rPr>
          <w:rFonts w:ascii="Times New Roman" w:hAnsi="Times New Roman" w:cs="Times New Roman"/>
          <w:w w:val="100"/>
          <w:sz w:val="21"/>
          <w:szCs w:val="21"/>
        </w:rPr>
        <w:t>(</w:t>
      </w:r>
      <w:r w:rsidR="00E36653" w:rsidRPr="004F28F7">
        <w:rPr>
          <w:rFonts w:ascii="Times New Roman" w:hAnsi="Times New Roman" w:cs="Times New Roman"/>
          <w:w w:val="100"/>
          <w:sz w:val="21"/>
          <w:szCs w:val="21"/>
        </w:rPr>
        <w:t>N.</w:t>
      </w:r>
      <w:r w:rsidR="00846D95" w:rsidRPr="004F28F7">
        <w:rPr>
          <w:rFonts w:ascii="Times New Roman" w:hAnsi="Times New Roman" w:cs="Times New Roman"/>
          <w:w w:val="100"/>
          <w:sz w:val="21"/>
          <w:szCs w:val="21"/>
        </w:rPr>
        <w:t>5.10</w:t>
      </w:r>
      <w:r w:rsidRPr="004F28F7">
        <w:rPr>
          <w:rFonts w:ascii="Times New Roman" w:hAnsi="Times New Roman" w:cs="Times New Roman"/>
          <w:w w:val="100"/>
          <w:sz w:val="21"/>
          <w:szCs w:val="21"/>
        </w:rPr>
        <w:t>)</w:t>
      </w:r>
      <w:r w:rsidRPr="004F28F7">
        <w:rPr>
          <w:rFonts w:ascii="Times New Roman" w:hAnsi="Times New Roman" w:cs="Times New Roman"/>
          <w:w w:val="100"/>
          <w:sz w:val="21"/>
          <w:szCs w:val="21"/>
        </w:rPr>
        <w:tab/>
      </w:r>
      <w:r w:rsidR="00A21718" w:rsidRPr="00A21718">
        <w:rPr>
          <w:rFonts w:ascii="Times New Roman" w:hAnsi="Times New Roman" w:cs="Times New Roman"/>
          <w:w w:val="100"/>
          <w:position w:val="-10"/>
          <w:sz w:val="21"/>
          <w:szCs w:val="21"/>
        </w:rPr>
        <w:object w:dxaOrig="5560" w:dyaOrig="300" w14:anchorId="5C75F68A">
          <v:shape id="_x0000_i1026" type="#_x0000_t75" style="width:277.8pt;height:15.05pt" o:ole="">
            <v:imagedata r:id="rId8" o:title=""/>
          </v:shape>
          <o:OLEObject Type="Embed" ProgID="Equation.DSMT4" ShapeID="_x0000_i1026" DrawAspect="Content" ObjectID="_1509796802" r:id="rId9"/>
        </w:object>
      </w:r>
    </w:p>
    <w:p w14:paraId="0904B016" w14:textId="77777777" w:rsidR="003E024E" w:rsidRPr="004F28F7" w:rsidRDefault="003E024E" w:rsidP="003E024E">
      <w:pPr>
        <w:pStyle w:val="b1fb1"/>
        <w:ind w:firstLine="0"/>
        <w:rPr>
          <w:rFonts w:ascii="Times New Roman" w:hAnsi="Times New Roman" w:cs="Times New Roman"/>
          <w:w w:val="100"/>
          <w:sz w:val="21"/>
          <w:szCs w:val="21"/>
        </w:rPr>
      </w:pPr>
      <w:r w:rsidRPr="004F28F7">
        <w:rPr>
          <w:rFonts w:ascii="Times New Roman" w:hAnsi="Times New Roman" w:cs="Times New Roman"/>
          <w:w w:val="100"/>
          <w:sz w:val="21"/>
          <w:szCs w:val="21"/>
        </w:rPr>
        <w:t xml:space="preserve"> </w:t>
      </w:r>
    </w:p>
    <w:p w14:paraId="13E3DF23" w14:textId="6CE9629C" w:rsidR="003E024E" w:rsidRPr="004F28F7" w:rsidRDefault="003E024E" w:rsidP="003E024E">
      <w:pPr>
        <w:pStyle w:val="b1f-fb1f-"/>
        <w:rPr>
          <w:rFonts w:ascii="Times New Roman" w:hAnsi="Times New Roman" w:cs="Times New Roman"/>
          <w:w w:val="100"/>
          <w:sz w:val="21"/>
          <w:szCs w:val="21"/>
        </w:rPr>
      </w:pPr>
      <w:r w:rsidRPr="004F28F7">
        <w:rPr>
          <w:rFonts w:ascii="Times New Roman" w:hAnsi="Times New Roman" w:cs="Times New Roman"/>
          <w:w w:val="100"/>
          <w:sz w:val="21"/>
          <w:szCs w:val="21"/>
        </w:rPr>
        <w:t>Uttrykk</w:t>
      </w:r>
      <w:r w:rsidR="00E36653" w:rsidRPr="004F28F7">
        <w:rPr>
          <w:rFonts w:ascii="Times New Roman" w:hAnsi="Times New Roman" w:cs="Times New Roman"/>
          <w:w w:val="100"/>
          <w:sz w:val="21"/>
          <w:szCs w:val="21"/>
        </w:rPr>
        <w:t xml:space="preserve"> (N.</w:t>
      </w:r>
      <w:r w:rsidR="00846D95" w:rsidRPr="004F28F7">
        <w:rPr>
          <w:rFonts w:ascii="Times New Roman" w:hAnsi="Times New Roman" w:cs="Times New Roman"/>
          <w:w w:val="100"/>
          <w:sz w:val="21"/>
          <w:szCs w:val="21"/>
        </w:rPr>
        <w:t>5.10</w:t>
      </w:r>
      <w:r w:rsidR="00E36653" w:rsidRPr="004F28F7">
        <w:rPr>
          <w:rFonts w:ascii="Times New Roman" w:hAnsi="Times New Roman" w:cs="Times New Roman"/>
          <w:w w:val="100"/>
          <w:sz w:val="21"/>
          <w:szCs w:val="21"/>
        </w:rPr>
        <w:t>)</w:t>
      </w:r>
      <w:r w:rsidRPr="004F28F7">
        <w:rPr>
          <w:rFonts w:ascii="Times New Roman" w:hAnsi="Times New Roman" w:cs="Times New Roman"/>
          <w:w w:val="100"/>
          <w:sz w:val="21"/>
          <w:szCs w:val="21"/>
        </w:rPr>
        <w:t xml:space="preserve"> sier at dividendeveksten </w:t>
      </w:r>
      <w:r w:rsidRPr="004F28F7">
        <w:rPr>
          <w:rFonts w:ascii="Times New Roman" w:hAnsi="Times New Roman" w:cs="Times New Roman"/>
          <w:i/>
          <w:w w:val="100"/>
          <w:sz w:val="21"/>
          <w:szCs w:val="21"/>
        </w:rPr>
        <w:t xml:space="preserve">v </w:t>
      </w:r>
      <w:r w:rsidRPr="004F28F7">
        <w:rPr>
          <w:rFonts w:ascii="Times New Roman" w:hAnsi="Times New Roman" w:cs="Times New Roman"/>
          <w:w w:val="100"/>
          <w:sz w:val="21"/>
          <w:szCs w:val="21"/>
        </w:rPr>
        <w:t xml:space="preserve">er lik tilbakeholdsandelen (andelen av resultatet </w:t>
      </w:r>
      <w:r w:rsidR="008F4FA4" w:rsidRPr="004F28F7">
        <w:rPr>
          <w:rFonts w:ascii="Times New Roman" w:hAnsi="Times New Roman" w:cs="Times New Roman"/>
          <w:w w:val="100"/>
          <w:sz w:val="21"/>
          <w:szCs w:val="21"/>
        </w:rPr>
        <w:t xml:space="preserve">som </w:t>
      </w:r>
      <w:r w:rsidRPr="004F28F7">
        <w:rPr>
          <w:rFonts w:ascii="Times New Roman" w:hAnsi="Times New Roman" w:cs="Times New Roman"/>
          <w:w w:val="100"/>
          <w:sz w:val="21"/>
          <w:szCs w:val="21"/>
        </w:rPr>
        <w:t xml:space="preserve">ikke deles ut, men reinvesteres i selskapet) multiplisert med avkastningen på det som tilbakeholdes (investeringens internrente). Legg merke til at tilbakeholdsandelen er lik 1 – dividendeandelen, hvor dividendeandelen er andelen av resultatet utbetalt som dividende, også kalt utdelingsforholdet. Summen av tilbakeholdsandelen og dividendeandelen er derfor </w:t>
      </w:r>
      <w:r w:rsidR="008F4FA4" w:rsidRPr="004F28F7">
        <w:rPr>
          <w:rFonts w:ascii="Times New Roman" w:hAnsi="Times New Roman" w:cs="Times New Roman"/>
          <w:w w:val="100"/>
          <w:sz w:val="21"/>
          <w:szCs w:val="21"/>
        </w:rPr>
        <w:t xml:space="preserve">alltid </w:t>
      </w:r>
      <w:r w:rsidRPr="004F28F7">
        <w:rPr>
          <w:rFonts w:ascii="Times New Roman" w:hAnsi="Times New Roman" w:cs="Times New Roman"/>
          <w:w w:val="100"/>
          <w:sz w:val="21"/>
          <w:szCs w:val="21"/>
        </w:rPr>
        <w:t xml:space="preserve">lik 1. Investeres eksempelvis 80 % av resultatet (tilbakeholdsandelen er 0,8), kan bare 20 % betales som dividende (dividendeandelen er 0,2). </w:t>
      </w:r>
    </w:p>
    <w:p w14:paraId="5628FDED" w14:textId="5078EA04" w:rsidR="003E024E" w:rsidRPr="004F28F7" w:rsidRDefault="003E024E" w:rsidP="00E36653">
      <w:pPr>
        <w:pStyle w:val="b1fb1"/>
        <w:rPr>
          <w:rFonts w:ascii="Times New Roman" w:hAnsi="Times New Roman" w:cs="Times New Roman"/>
          <w:sz w:val="21"/>
          <w:szCs w:val="21"/>
        </w:rPr>
      </w:pPr>
      <w:r w:rsidRPr="004F28F7">
        <w:rPr>
          <w:rFonts w:ascii="Times New Roman" w:hAnsi="Times New Roman" w:cs="Times New Roman"/>
          <w:sz w:val="21"/>
          <w:szCs w:val="21"/>
        </w:rPr>
        <w:t xml:space="preserve">Vekst i seg selv er ikke tilstrekkelig for å skape positiv nåverdi, dvs. for å få aksjekursen til å stige. Veksten som skapes av det reinvesterte resultatet </w:t>
      </w:r>
      <w:r w:rsidR="00E36653" w:rsidRPr="004F28F7">
        <w:rPr>
          <w:rFonts w:ascii="Times New Roman" w:hAnsi="Times New Roman" w:cs="Times New Roman"/>
          <w:sz w:val="21"/>
          <w:szCs w:val="21"/>
        </w:rPr>
        <w:t xml:space="preserve">i </w:t>
      </w:r>
      <w:r w:rsidR="00E36653" w:rsidRPr="004F28F7">
        <w:rPr>
          <w:rFonts w:ascii="Times New Roman" w:hAnsi="Times New Roman" w:cs="Times New Roman"/>
          <w:w w:val="100"/>
          <w:sz w:val="21"/>
          <w:szCs w:val="21"/>
        </w:rPr>
        <w:t>(N.</w:t>
      </w:r>
      <w:r w:rsidR="00846D95" w:rsidRPr="004F28F7">
        <w:rPr>
          <w:rFonts w:ascii="Times New Roman" w:hAnsi="Times New Roman" w:cs="Times New Roman"/>
          <w:w w:val="100"/>
          <w:sz w:val="21"/>
          <w:szCs w:val="21"/>
        </w:rPr>
        <w:t>5.10</w:t>
      </w:r>
      <w:r w:rsidR="00E36653" w:rsidRPr="004F28F7">
        <w:rPr>
          <w:rFonts w:ascii="Times New Roman" w:hAnsi="Times New Roman" w:cs="Times New Roman"/>
          <w:w w:val="100"/>
          <w:sz w:val="21"/>
          <w:szCs w:val="21"/>
        </w:rPr>
        <w:t>)</w:t>
      </w:r>
      <w:r w:rsidR="00866A23" w:rsidRPr="004F28F7">
        <w:rPr>
          <w:rFonts w:ascii="Times New Roman" w:hAnsi="Times New Roman" w:cs="Times New Roman"/>
          <w:w w:val="100"/>
          <w:sz w:val="21"/>
          <w:szCs w:val="21"/>
        </w:rPr>
        <w:t>,</w:t>
      </w:r>
      <w:r w:rsidRPr="004F28F7">
        <w:rPr>
          <w:rFonts w:ascii="Times New Roman" w:hAnsi="Times New Roman" w:cs="Times New Roman"/>
          <w:sz w:val="21"/>
          <w:szCs w:val="21"/>
        </w:rPr>
        <w:t xml:space="preserve"> må også være </w:t>
      </w:r>
      <w:r w:rsidRPr="004F28F7">
        <w:rPr>
          <w:rFonts w:ascii="Times New Roman" w:hAnsi="Times New Roman" w:cs="Times New Roman"/>
          <w:i/>
          <w:sz w:val="21"/>
          <w:szCs w:val="21"/>
        </w:rPr>
        <w:t>lønnsom</w:t>
      </w:r>
      <w:r w:rsidR="00E36653" w:rsidRPr="004F28F7">
        <w:rPr>
          <w:rFonts w:ascii="Times New Roman" w:hAnsi="Times New Roman" w:cs="Times New Roman"/>
          <w:sz w:val="21"/>
          <w:szCs w:val="21"/>
        </w:rPr>
        <w:t>, dvs.</w:t>
      </w:r>
      <w:r w:rsidR="008F4FA4" w:rsidRPr="004F28F7">
        <w:rPr>
          <w:rFonts w:ascii="Times New Roman" w:hAnsi="Times New Roman" w:cs="Times New Roman"/>
          <w:sz w:val="21"/>
          <w:szCs w:val="21"/>
        </w:rPr>
        <w:t>:</w:t>
      </w:r>
      <w:r w:rsidR="00E36653" w:rsidRPr="004F28F7">
        <w:rPr>
          <w:rFonts w:ascii="Times New Roman" w:hAnsi="Times New Roman" w:cs="Times New Roman"/>
          <w:sz w:val="21"/>
          <w:szCs w:val="21"/>
        </w:rPr>
        <w:t xml:space="preserve"> </w:t>
      </w:r>
    </w:p>
    <w:p w14:paraId="74B0650D" w14:textId="77777777" w:rsidR="00E36653" w:rsidRPr="004F28F7" w:rsidRDefault="00E36653" w:rsidP="00E36653">
      <w:pPr>
        <w:pStyle w:val="b1fb1"/>
        <w:rPr>
          <w:rFonts w:ascii="Times New Roman" w:hAnsi="Times New Roman" w:cs="Times New Roman"/>
          <w:sz w:val="21"/>
          <w:szCs w:val="21"/>
        </w:rPr>
      </w:pPr>
    </w:p>
    <w:p w14:paraId="7DA25CBD" w14:textId="7F449607" w:rsidR="003E024E" w:rsidRPr="004F28F7" w:rsidRDefault="00E36653" w:rsidP="003E024E">
      <w:pPr>
        <w:pStyle w:val="b1fb1"/>
        <w:ind w:firstLine="0"/>
        <w:rPr>
          <w:rFonts w:ascii="Times New Roman" w:hAnsi="Times New Roman" w:cs="Times New Roman"/>
          <w:sz w:val="21"/>
          <w:szCs w:val="21"/>
        </w:rPr>
      </w:pPr>
      <w:r w:rsidRPr="004F28F7">
        <w:rPr>
          <w:rFonts w:ascii="Times New Roman" w:hAnsi="Times New Roman" w:cs="Times New Roman"/>
          <w:sz w:val="21"/>
          <w:szCs w:val="21"/>
        </w:rPr>
        <w:t>(</w:t>
      </w:r>
      <w:r w:rsidRPr="004F28F7">
        <w:rPr>
          <w:rFonts w:ascii="Times New Roman" w:hAnsi="Times New Roman" w:cs="Times New Roman"/>
          <w:w w:val="100"/>
          <w:sz w:val="21"/>
          <w:szCs w:val="21"/>
        </w:rPr>
        <w:t>N.</w:t>
      </w:r>
      <w:r w:rsidR="00846D95" w:rsidRPr="004F28F7">
        <w:rPr>
          <w:rFonts w:ascii="Times New Roman" w:hAnsi="Times New Roman" w:cs="Times New Roman"/>
          <w:w w:val="100"/>
          <w:sz w:val="21"/>
          <w:szCs w:val="21"/>
        </w:rPr>
        <w:t>5.11</w:t>
      </w:r>
      <w:r w:rsidRPr="004F28F7">
        <w:rPr>
          <w:rFonts w:ascii="Times New Roman" w:hAnsi="Times New Roman" w:cs="Times New Roman"/>
          <w:sz w:val="21"/>
          <w:szCs w:val="21"/>
        </w:rPr>
        <w:t xml:space="preserve">) </w:t>
      </w:r>
      <w:r w:rsidR="003E024E" w:rsidRPr="004F28F7">
        <w:rPr>
          <w:rFonts w:ascii="Times New Roman" w:hAnsi="Times New Roman" w:cs="Times New Roman"/>
          <w:sz w:val="21"/>
          <w:szCs w:val="21"/>
        </w:rPr>
        <w:t xml:space="preserve">Internrenten </w:t>
      </w:r>
      <w:r w:rsidR="00866A23" w:rsidRPr="004F28F7">
        <w:rPr>
          <w:rFonts w:ascii="Times New Roman" w:hAnsi="Times New Roman" w:cs="Times New Roman"/>
          <w:sz w:val="21"/>
          <w:szCs w:val="21"/>
        </w:rPr>
        <w:t>på investeringen</w:t>
      </w:r>
      <w:r w:rsidRPr="004F28F7">
        <w:rPr>
          <w:rFonts w:ascii="Times New Roman" w:hAnsi="Times New Roman" w:cs="Times New Roman"/>
          <w:i/>
          <w:sz w:val="21"/>
          <w:szCs w:val="21"/>
        </w:rPr>
        <w:t xml:space="preserve"> i</w:t>
      </w:r>
      <w:r w:rsidR="003E024E" w:rsidRPr="004F28F7">
        <w:rPr>
          <w:rFonts w:ascii="Times New Roman" w:hAnsi="Times New Roman" w:cs="Times New Roman"/>
          <w:sz w:val="21"/>
          <w:szCs w:val="21"/>
        </w:rPr>
        <w:t xml:space="preserve"> må overstige kapitalkostnaden</w:t>
      </w:r>
      <w:r w:rsidR="003E024E" w:rsidRPr="004F28F7">
        <w:rPr>
          <w:rFonts w:ascii="Times New Roman" w:hAnsi="Times New Roman" w:cs="Times New Roman"/>
          <w:i/>
          <w:sz w:val="21"/>
          <w:szCs w:val="21"/>
        </w:rPr>
        <w:t xml:space="preserve"> </w:t>
      </w:r>
      <w:r w:rsidRPr="004F28F7">
        <w:rPr>
          <w:rFonts w:ascii="Times New Roman" w:hAnsi="Times New Roman" w:cs="Times New Roman"/>
          <w:i/>
          <w:sz w:val="21"/>
          <w:szCs w:val="21"/>
        </w:rPr>
        <w:t>r</w:t>
      </w:r>
      <w:r w:rsidRPr="004F28F7">
        <w:rPr>
          <w:rFonts w:ascii="Times New Roman" w:hAnsi="Times New Roman" w:cs="Times New Roman"/>
          <w:sz w:val="21"/>
          <w:szCs w:val="21"/>
        </w:rPr>
        <w:t xml:space="preserve"> </w:t>
      </w:r>
      <w:r w:rsidR="003E024E" w:rsidRPr="004F28F7">
        <w:rPr>
          <w:rFonts w:ascii="Times New Roman" w:hAnsi="Times New Roman" w:cs="Times New Roman"/>
          <w:sz w:val="21"/>
          <w:szCs w:val="21"/>
        </w:rPr>
        <w:t xml:space="preserve">fra </w:t>
      </w:r>
      <w:r w:rsidRPr="004F28F7">
        <w:rPr>
          <w:rFonts w:ascii="Times New Roman" w:hAnsi="Times New Roman" w:cs="Times New Roman"/>
          <w:sz w:val="21"/>
          <w:szCs w:val="21"/>
        </w:rPr>
        <w:t>dividendemodellen i (</w:t>
      </w:r>
      <w:r w:rsidRPr="004F28F7">
        <w:rPr>
          <w:rFonts w:ascii="Times New Roman" w:hAnsi="Times New Roman" w:cs="Times New Roman"/>
          <w:w w:val="100"/>
          <w:sz w:val="21"/>
          <w:szCs w:val="21"/>
        </w:rPr>
        <w:t>N.5.10)</w:t>
      </w:r>
      <w:r w:rsidR="00866A23" w:rsidRPr="004F28F7">
        <w:rPr>
          <w:rFonts w:ascii="Times New Roman" w:hAnsi="Times New Roman" w:cs="Times New Roman"/>
          <w:w w:val="100"/>
          <w:sz w:val="21"/>
          <w:szCs w:val="21"/>
        </w:rPr>
        <w:t>.</w:t>
      </w:r>
    </w:p>
    <w:p w14:paraId="58CCB139" w14:textId="77777777" w:rsidR="003E024E" w:rsidRPr="004F28F7" w:rsidRDefault="003E024E" w:rsidP="003E024E">
      <w:pPr>
        <w:pStyle w:val="b1fb1"/>
        <w:ind w:left="1060" w:firstLine="0"/>
        <w:rPr>
          <w:rFonts w:ascii="Times New Roman" w:hAnsi="Times New Roman" w:cs="Times New Roman"/>
          <w:sz w:val="21"/>
          <w:szCs w:val="21"/>
        </w:rPr>
      </w:pPr>
      <w:r w:rsidRPr="004F28F7">
        <w:rPr>
          <w:rFonts w:ascii="Times New Roman" w:hAnsi="Times New Roman" w:cs="Times New Roman"/>
          <w:sz w:val="21"/>
          <w:szCs w:val="21"/>
        </w:rPr>
        <w:t xml:space="preserve"> </w:t>
      </w:r>
    </w:p>
    <w:p w14:paraId="3FB7CD92" w14:textId="558C2714" w:rsidR="003E024E" w:rsidRPr="004F28F7" w:rsidRDefault="003E024E" w:rsidP="003E024E">
      <w:pPr>
        <w:pStyle w:val="b1fb1"/>
        <w:ind w:firstLine="0"/>
        <w:rPr>
          <w:rFonts w:ascii="Times New Roman" w:hAnsi="Times New Roman" w:cs="Times New Roman"/>
          <w:sz w:val="21"/>
          <w:szCs w:val="21"/>
        </w:rPr>
      </w:pPr>
      <w:r w:rsidRPr="004F28F7">
        <w:rPr>
          <w:rFonts w:ascii="Times New Roman" w:hAnsi="Times New Roman" w:cs="Times New Roman"/>
          <w:sz w:val="21"/>
          <w:szCs w:val="21"/>
        </w:rPr>
        <w:t xml:space="preserve">Dette kriteriet er helt i tråd med internrentemodellen i </w:t>
      </w:r>
      <w:r w:rsidR="008F4FA4" w:rsidRPr="004F28F7">
        <w:rPr>
          <w:rFonts w:ascii="Times New Roman" w:hAnsi="Times New Roman" w:cs="Times New Roman"/>
          <w:sz w:val="21"/>
          <w:szCs w:val="21"/>
        </w:rPr>
        <w:t xml:space="preserve">lærebokens </w:t>
      </w:r>
      <w:r w:rsidRPr="004F28F7">
        <w:rPr>
          <w:rFonts w:ascii="Times New Roman" w:hAnsi="Times New Roman" w:cs="Times New Roman"/>
          <w:sz w:val="21"/>
          <w:szCs w:val="21"/>
        </w:rPr>
        <w:t>del 4.3. Neste eksempel viser disse sammenhengene.</w:t>
      </w:r>
    </w:p>
    <w:p w14:paraId="0956292B" w14:textId="45D6594F" w:rsidR="003E024E" w:rsidRDefault="004F28F7" w:rsidP="003E024E">
      <w:pPr>
        <w:pStyle w:val="b1fb1"/>
        <w:ind w:firstLine="0"/>
        <w:rPr>
          <w:rFonts w:ascii="Times New Roman" w:hAnsi="Times New Roman" w:cs="Times New Roman"/>
          <w:sz w:val="21"/>
          <w:szCs w:val="21"/>
        </w:rPr>
      </w:pPr>
      <w:r>
        <w:rPr>
          <w:rFonts w:ascii="Times New Roman" w:hAnsi="Times New Roman" w:cs="Times New Roman"/>
          <w:sz w:val="21"/>
          <w:szCs w:val="21"/>
        </w:rPr>
        <w:br w:type="column"/>
      </w:r>
    </w:p>
    <w:tbl>
      <w:tblPr>
        <w:tblStyle w:val="Tabellrutenett"/>
        <w:tblW w:w="9607" w:type="dxa"/>
        <w:tblLayout w:type="fixed"/>
        <w:tblLook w:val="0000" w:firstRow="0" w:lastRow="0" w:firstColumn="0" w:lastColumn="0" w:noHBand="0" w:noVBand="0"/>
      </w:tblPr>
      <w:tblGrid>
        <w:gridCol w:w="9607"/>
      </w:tblGrid>
      <w:tr w:rsidR="004F28F7" w:rsidRPr="001877B8" w14:paraId="0EF3C5C5" w14:textId="77777777" w:rsidTr="00CB58A2">
        <w:trPr>
          <w:trHeight w:val="440"/>
        </w:trPr>
        <w:tc>
          <w:tcPr>
            <w:tcW w:w="9607" w:type="dxa"/>
          </w:tcPr>
          <w:p w14:paraId="7C0961A4" w14:textId="3FA0B1BC" w:rsidR="004F28F7" w:rsidRPr="001877B8" w:rsidRDefault="004F28F7" w:rsidP="004F28F7">
            <w:pPr>
              <w:pStyle w:val="a1tfa1t"/>
              <w:tabs>
                <w:tab w:val="clear" w:pos="440"/>
                <w:tab w:val="clear" w:pos="840"/>
                <w:tab w:val="clear" w:pos="7180"/>
                <w:tab w:val="clear" w:pos="7900"/>
                <w:tab w:val="clear" w:pos="8620"/>
                <w:tab w:val="left" w:pos="0"/>
                <w:tab w:val="left" w:pos="694"/>
                <w:tab w:val="left" w:pos="1090"/>
                <w:tab w:val="left" w:pos="7440"/>
                <w:tab w:val="left" w:pos="8160"/>
                <w:tab w:val="left" w:pos="8880"/>
              </w:tabs>
              <w:spacing w:before="160" w:after="80"/>
              <w:ind w:left="240" w:right="240"/>
              <w:rPr>
                <w:rFonts w:ascii="Times New Roman" w:hAnsi="Times New Roman" w:cs="Times New Roman"/>
              </w:rPr>
            </w:pPr>
            <w:r w:rsidRPr="001877B8">
              <w:rPr>
                <w:rFonts w:ascii="Times New Roman" w:hAnsi="Times New Roman" w:cs="Times New Roman"/>
              </w:rPr>
              <w:t xml:space="preserve">Eksempel </w:t>
            </w:r>
            <w:r>
              <w:rPr>
                <w:rFonts w:ascii="Times New Roman" w:hAnsi="Times New Roman" w:cs="Times New Roman"/>
              </w:rPr>
              <w:t>N5</w:t>
            </w:r>
            <w:r w:rsidRPr="001877B8">
              <w:rPr>
                <w:rFonts w:ascii="Times New Roman" w:hAnsi="Times New Roman" w:cs="Times New Roman"/>
              </w:rPr>
              <w:t>.</w:t>
            </w:r>
            <w:r>
              <w:rPr>
                <w:rFonts w:ascii="Times New Roman" w:hAnsi="Times New Roman" w:cs="Times New Roman"/>
              </w:rPr>
              <w:t>1</w:t>
            </w:r>
            <w:r w:rsidRPr="001877B8">
              <w:rPr>
                <w:rFonts w:ascii="Times New Roman" w:hAnsi="Times New Roman" w:cs="Times New Roman"/>
              </w:rPr>
              <w:t>0</w:t>
            </w:r>
          </w:p>
        </w:tc>
      </w:tr>
      <w:tr w:rsidR="004F28F7" w:rsidRPr="001877B8" w14:paraId="645AB54B" w14:textId="77777777" w:rsidTr="00CB58A2">
        <w:trPr>
          <w:trHeight w:val="10346"/>
        </w:trPr>
        <w:tc>
          <w:tcPr>
            <w:tcW w:w="9607" w:type="dxa"/>
          </w:tcPr>
          <w:p w14:paraId="2D5A9DE6" w14:textId="08684EEF" w:rsidR="004F28F7" w:rsidRPr="004F28F7" w:rsidRDefault="004F28F7" w:rsidP="004F28F7">
            <w:pPr>
              <w:pStyle w:val="b1fb1"/>
              <w:ind w:firstLine="0"/>
              <w:rPr>
                <w:rFonts w:ascii="Times New Roman" w:hAnsi="Times New Roman" w:cs="Times New Roman"/>
                <w:spacing w:val="-4"/>
                <w:w w:val="100"/>
                <w:sz w:val="21"/>
                <w:szCs w:val="21"/>
              </w:rPr>
            </w:pPr>
            <w:r w:rsidRPr="004F28F7">
              <w:rPr>
                <w:rFonts w:ascii="Times New Roman" w:hAnsi="Times New Roman" w:cs="Times New Roman"/>
                <w:spacing w:val="-4"/>
                <w:w w:val="100"/>
                <w:sz w:val="21"/>
                <w:szCs w:val="21"/>
              </w:rPr>
              <w:t>Ledelsen i AS Vokal venter et resultat på 50 kroner pr. aksje neste år. Planen er å utbetale hele resultatet som dividende både neste år og i overskuelig fremtid. Dette innebærer at dividendeandelen er 1 og at tilbakeholdsandelen er 0. Forventet dividendevekst er 0, og dagens aksjekurs er 500 kroner.</w:t>
            </w:r>
          </w:p>
          <w:p w14:paraId="0B72AEC3" w14:textId="77777777" w:rsidR="004F28F7" w:rsidRPr="004F28F7" w:rsidRDefault="004F28F7" w:rsidP="004F28F7">
            <w:pPr>
              <w:pStyle w:val="b1fb1"/>
              <w:ind w:firstLine="0"/>
              <w:rPr>
                <w:rFonts w:ascii="Times New Roman" w:hAnsi="Times New Roman" w:cs="Times New Roman"/>
                <w:spacing w:val="-4"/>
                <w:w w:val="100"/>
                <w:sz w:val="21"/>
                <w:szCs w:val="21"/>
              </w:rPr>
            </w:pPr>
            <w:r w:rsidRPr="004F28F7">
              <w:rPr>
                <w:rFonts w:ascii="Times New Roman" w:hAnsi="Times New Roman" w:cs="Times New Roman"/>
                <w:spacing w:val="-4"/>
                <w:w w:val="100"/>
                <w:sz w:val="21"/>
                <w:szCs w:val="21"/>
              </w:rPr>
              <w:tab/>
              <w:t>Ut fra dividendemodellen betyr dette at egenkapitalkostnaden for AS Vokal er 10 %, gitt fra:</w:t>
            </w:r>
          </w:p>
          <w:p w14:paraId="49A72C48" w14:textId="2AEF6CC9" w:rsidR="004F28F7" w:rsidRPr="007F0252" w:rsidRDefault="00A21718" w:rsidP="004F28F7">
            <w:pPr>
              <w:pStyle w:val="b1fb1"/>
              <w:ind w:firstLine="0"/>
              <w:rPr>
                <w:rFonts w:ascii="Times New Roman" w:hAnsi="Times New Roman" w:cs="Times New Roman"/>
                <w:spacing w:val="-4"/>
                <w:w w:val="100"/>
                <w:sz w:val="21"/>
                <w:szCs w:val="21"/>
              </w:rPr>
            </w:pPr>
            <w:r w:rsidRPr="00A21718">
              <w:rPr>
                <w:rFonts w:ascii="Times New Roman" w:hAnsi="Times New Roman" w:cs="Times New Roman"/>
                <w:position w:val="-38"/>
                <w:sz w:val="21"/>
                <w:szCs w:val="21"/>
              </w:rPr>
              <w:object w:dxaOrig="1359" w:dyaOrig="880" w14:anchorId="2D012666">
                <v:shape id="_x0000_i1027" type="#_x0000_t75" style="width:67.7pt;height:44.05pt" o:ole="">
                  <v:imagedata r:id="rId10" o:title=""/>
                </v:shape>
                <o:OLEObject Type="Embed" ProgID="Equation.DSMT4" ShapeID="_x0000_i1027" DrawAspect="Content" ObjectID="_1509796803" r:id="rId11"/>
              </w:object>
            </w:r>
          </w:p>
          <w:p w14:paraId="43DE7E29" w14:textId="77777777" w:rsidR="004F28F7" w:rsidRPr="004F28F7" w:rsidRDefault="004F28F7" w:rsidP="004F28F7">
            <w:pPr>
              <w:pStyle w:val="b1fb1"/>
              <w:ind w:firstLine="0"/>
              <w:rPr>
                <w:rFonts w:ascii="Times New Roman" w:hAnsi="Times New Roman" w:cs="Times New Roman"/>
                <w:spacing w:val="-4"/>
                <w:w w:val="100"/>
                <w:sz w:val="21"/>
                <w:szCs w:val="21"/>
              </w:rPr>
            </w:pPr>
          </w:p>
          <w:p w14:paraId="68C50C7D" w14:textId="77777777" w:rsidR="004F28F7" w:rsidRPr="004F28F7" w:rsidRDefault="004F28F7" w:rsidP="004F28F7">
            <w:pPr>
              <w:pStyle w:val="b1fb1"/>
              <w:ind w:firstLine="0"/>
              <w:rPr>
                <w:rFonts w:ascii="Times New Roman" w:hAnsi="Times New Roman" w:cs="Times New Roman"/>
                <w:sz w:val="21"/>
                <w:szCs w:val="21"/>
              </w:rPr>
            </w:pPr>
            <w:r w:rsidRPr="004F28F7">
              <w:rPr>
                <w:rFonts w:ascii="Times New Roman" w:hAnsi="Times New Roman" w:cs="Times New Roman"/>
                <w:sz w:val="21"/>
                <w:szCs w:val="21"/>
              </w:rPr>
              <w:t>Styret vurderer nå å innføre en vekststrategi. For å få finansiert de investeringene dette krever, er planen å redusere dividendeandelen fra 1 til 0,4. Dette er altså det samme som å si at tilbakeholdsandelen øker fra 0 til 0,6. Styret ber ledelsen utrede hva denne nye strategien kan bety for selskapets vekst og verdiskaping. Ledelsen blir bedt om å gjøre disse analysene under alternative forutsetninger om at vekststrategien gir en internrente på enten 9 % eller 11 %.</w:t>
            </w:r>
          </w:p>
          <w:p w14:paraId="6A7D08A0" w14:textId="77777777" w:rsidR="004F28F7" w:rsidRPr="004F28F7" w:rsidRDefault="004F28F7" w:rsidP="004F28F7">
            <w:pPr>
              <w:pStyle w:val="b1fb1"/>
              <w:ind w:firstLine="0"/>
              <w:rPr>
                <w:rFonts w:ascii="Times New Roman" w:hAnsi="Times New Roman" w:cs="Times New Roman"/>
                <w:sz w:val="21"/>
                <w:szCs w:val="21"/>
              </w:rPr>
            </w:pPr>
            <w:r w:rsidRPr="004F28F7">
              <w:rPr>
                <w:rFonts w:ascii="Times New Roman" w:hAnsi="Times New Roman" w:cs="Times New Roman"/>
                <w:sz w:val="21"/>
                <w:szCs w:val="21"/>
              </w:rPr>
              <w:tab/>
              <w:t xml:space="preserve">Med disse forutsetningene vil startdividenden falle fra 50 kroner (50 </w:t>
            </w:r>
            <w:r w:rsidRPr="004F28F7">
              <w:rPr>
                <w:rFonts w:ascii="Times New Roman" w:hAnsi="Times New Roman" w:cs="Times New Roman"/>
                <w:w w:val="100"/>
                <w:sz w:val="21"/>
                <w:szCs w:val="21"/>
              </w:rPr>
              <w:t xml:space="preserve">· 1,00) </w:t>
            </w:r>
            <w:r w:rsidRPr="004F28F7">
              <w:rPr>
                <w:rFonts w:ascii="Times New Roman" w:hAnsi="Times New Roman" w:cs="Times New Roman"/>
                <w:sz w:val="21"/>
                <w:szCs w:val="21"/>
              </w:rPr>
              <w:t xml:space="preserve">til 20 kroner (50 </w:t>
            </w:r>
            <w:r w:rsidRPr="004F28F7">
              <w:rPr>
                <w:rFonts w:ascii="Times New Roman" w:hAnsi="Times New Roman" w:cs="Times New Roman"/>
                <w:w w:val="100"/>
                <w:sz w:val="21"/>
                <w:szCs w:val="21"/>
              </w:rPr>
              <w:t>· 0,40) pr. aksje</w:t>
            </w:r>
            <w:r w:rsidRPr="004F28F7">
              <w:rPr>
                <w:rFonts w:ascii="Times New Roman" w:hAnsi="Times New Roman" w:cs="Times New Roman"/>
                <w:sz w:val="21"/>
                <w:szCs w:val="21"/>
              </w:rPr>
              <w:t xml:space="preserve">. Tilsvarende vil </w:t>
            </w:r>
            <w:proofErr w:type="gramStart"/>
            <w:r w:rsidRPr="004F28F7">
              <w:rPr>
                <w:rFonts w:ascii="Times New Roman" w:hAnsi="Times New Roman" w:cs="Times New Roman"/>
                <w:sz w:val="21"/>
                <w:szCs w:val="21"/>
              </w:rPr>
              <w:t>tilbakeholdt</w:t>
            </w:r>
            <w:proofErr w:type="gramEnd"/>
            <w:r w:rsidRPr="004F28F7">
              <w:rPr>
                <w:rFonts w:ascii="Times New Roman" w:hAnsi="Times New Roman" w:cs="Times New Roman"/>
                <w:sz w:val="21"/>
                <w:szCs w:val="21"/>
              </w:rPr>
              <w:t xml:space="preserve"> og investert beløp øke fra 0 til 30 kroner pr. aksje. Dermed kan vi beregne forventet utbyttevekst fra (N.5.10) forutsatt enten 9 % eller 11 % internrente på veksten.</w:t>
            </w:r>
          </w:p>
          <w:p w14:paraId="59C0CD92" w14:textId="77777777" w:rsidR="004F28F7" w:rsidRPr="004F28F7" w:rsidRDefault="004F28F7" w:rsidP="004F28F7">
            <w:pPr>
              <w:pStyle w:val="b1fb1"/>
              <w:ind w:firstLine="0"/>
              <w:rPr>
                <w:rFonts w:ascii="Times New Roman" w:hAnsi="Times New Roman" w:cs="Times New Roman"/>
                <w:sz w:val="21"/>
                <w:szCs w:val="21"/>
              </w:rPr>
            </w:pPr>
          </w:p>
          <w:p w14:paraId="549B4603" w14:textId="1C3AD04E" w:rsidR="004F28F7" w:rsidRPr="004F28F7" w:rsidRDefault="004F28F7" w:rsidP="004F28F7">
            <w:pPr>
              <w:pStyle w:val="b1fb1"/>
              <w:pBdr>
                <w:bottom w:val="single" w:sz="4" w:space="1" w:color="auto"/>
              </w:pBdr>
              <w:ind w:firstLine="0"/>
              <w:rPr>
                <w:rFonts w:ascii="Times New Roman" w:hAnsi="Times New Roman" w:cs="Times New Roman"/>
                <w:w w:val="100"/>
                <w:sz w:val="21"/>
                <w:szCs w:val="21"/>
              </w:rPr>
            </w:pPr>
            <w:r w:rsidRPr="004F28F7">
              <w:rPr>
                <w:rFonts w:ascii="Times New Roman" w:hAnsi="Times New Roman" w:cs="Times New Roman"/>
                <w:sz w:val="21"/>
                <w:szCs w:val="21"/>
              </w:rPr>
              <w:t>Internrente</w:t>
            </w:r>
            <w:r w:rsidRPr="004F28F7">
              <w:rPr>
                <w:rFonts w:ascii="Times New Roman" w:hAnsi="Times New Roman" w:cs="Times New Roman"/>
                <w:sz w:val="21"/>
                <w:szCs w:val="21"/>
              </w:rPr>
              <w:tab/>
            </w:r>
            <w:r w:rsidRPr="004F28F7">
              <w:rPr>
                <w:rFonts w:ascii="Times New Roman" w:hAnsi="Times New Roman" w:cs="Times New Roman"/>
                <w:sz w:val="21"/>
                <w:szCs w:val="21"/>
              </w:rPr>
              <w:tab/>
            </w:r>
            <w:bookmarkStart w:id="0" w:name="_GoBack"/>
            <w:r w:rsidR="00A21718" w:rsidRPr="00A21718">
              <w:rPr>
                <w:rFonts w:ascii="Times New Roman" w:hAnsi="Times New Roman" w:cs="Times New Roman"/>
                <w:position w:val="-10"/>
                <w:sz w:val="21"/>
                <w:szCs w:val="21"/>
              </w:rPr>
              <w:object w:dxaOrig="5560" w:dyaOrig="300" w14:anchorId="3564BBC7">
                <v:shape id="_x0000_i1028" type="#_x0000_t75" style="width:277.8pt;height:15.05pt" o:ole="">
                  <v:imagedata r:id="rId12" o:title=""/>
                </v:shape>
                <o:OLEObject Type="Embed" ProgID="Equation.DSMT4" ShapeID="_x0000_i1028" DrawAspect="Content" ObjectID="_1509796804" r:id="rId13"/>
              </w:object>
            </w:r>
            <w:bookmarkEnd w:id="0"/>
            <w:r w:rsidRPr="004F28F7">
              <w:rPr>
                <w:rFonts w:ascii="Times New Roman" w:hAnsi="Times New Roman" w:cs="Times New Roman"/>
                <w:sz w:val="21"/>
                <w:szCs w:val="21"/>
              </w:rPr>
              <w:t xml:space="preserve"> </w:t>
            </w:r>
          </w:p>
          <w:p w14:paraId="63D9B11D" w14:textId="554E0C88" w:rsidR="004F28F7" w:rsidRPr="004F28F7" w:rsidRDefault="004F28F7" w:rsidP="004F28F7">
            <w:pPr>
              <w:pStyle w:val="b1fb1"/>
              <w:ind w:firstLine="0"/>
              <w:rPr>
                <w:rFonts w:ascii="Times New Roman" w:hAnsi="Times New Roman" w:cs="Times New Roman"/>
                <w:sz w:val="21"/>
                <w:szCs w:val="21"/>
              </w:rPr>
            </w:pPr>
            <w:r>
              <w:rPr>
                <w:rFonts w:ascii="Times New Roman" w:hAnsi="Times New Roman" w:cs="Times New Roman"/>
                <w:sz w:val="21"/>
                <w:szCs w:val="21"/>
              </w:rPr>
              <w:t xml:space="preserve"> 9</w:t>
            </w:r>
            <w:proofErr w:type="gramStart"/>
            <w:r>
              <w:rPr>
                <w:rFonts w:ascii="Times New Roman" w:hAnsi="Times New Roman" w:cs="Times New Roman"/>
                <w:sz w:val="21"/>
                <w:szCs w:val="21"/>
              </w:rPr>
              <w:t xml:space="preserve"> %</w:t>
            </w:r>
            <w:r>
              <w:rPr>
                <w:rFonts w:ascii="Times New Roman" w:hAnsi="Times New Roman" w:cs="Times New Roman"/>
                <w:sz w:val="21"/>
                <w:szCs w:val="21"/>
              </w:rPr>
              <w:tab/>
            </w:r>
            <w:proofErr w:type="gramEnd"/>
            <w:r>
              <w:rPr>
                <w:rFonts w:ascii="Times New Roman" w:hAnsi="Times New Roman" w:cs="Times New Roman"/>
                <w:sz w:val="21"/>
                <w:szCs w:val="21"/>
              </w:rPr>
              <w:tab/>
            </w:r>
            <w:r w:rsidRPr="004F28F7">
              <w:rPr>
                <w:rFonts w:ascii="Times New Roman" w:hAnsi="Times New Roman" w:cs="Times New Roman"/>
                <w:sz w:val="21"/>
                <w:szCs w:val="21"/>
              </w:rPr>
              <w:tab/>
            </w:r>
            <w:r w:rsidRPr="004F28F7">
              <w:rPr>
                <w:rFonts w:ascii="Times New Roman" w:hAnsi="Times New Roman" w:cs="Times New Roman"/>
                <w:sz w:val="21"/>
                <w:szCs w:val="21"/>
              </w:rPr>
              <w:tab/>
            </w:r>
            <w:r w:rsidRPr="004F28F7">
              <w:rPr>
                <w:rFonts w:ascii="Times New Roman" w:hAnsi="Times New Roman" w:cs="Times New Roman"/>
                <w:sz w:val="21"/>
                <w:szCs w:val="21"/>
              </w:rPr>
              <w:tab/>
            </w:r>
            <w:r w:rsidRPr="004F28F7">
              <w:rPr>
                <w:rFonts w:ascii="Times New Roman" w:hAnsi="Times New Roman" w:cs="Times New Roman"/>
                <w:sz w:val="21"/>
                <w:szCs w:val="21"/>
              </w:rPr>
              <w:tab/>
            </w:r>
            <w:r w:rsidRPr="004F28F7">
              <w:rPr>
                <w:rFonts w:ascii="Times New Roman" w:hAnsi="Times New Roman" w:cs="Times New Roman"/>
                <w:sz w:val="21"/>
                <w:szCs w:val="21"/>
              </w:rPr>
              <w:tab/>
              <w:t xml:space="preserve">5, 4 % = 0,6 </w:t>
            </w:r>
            <w:r w:rsidRPr="004F28F7">
              <w:rPr>
                <w:rFonts w:ascii="Times New Roman" w:hAnsi="Times New Roman" w:cs="Times New Roman"/>
                <w:w w:val="100"/>
                <w:sz w:val="21"/>
                <w:szCs w:val="21"/>
              </w:rPr>
              <w:t>· </w:t>
            </w:r>
            <w:r w:rsidRPr="004F28F7">
              <w:rPr>
                <w:rFonts w:ascii="Times New Roman" w:hAnsi="Times New Roman" w:cs="Times New Roman"/>
                <w:sz w:val="21"/>
                <w:szCs w:val="21"/>
              </w:rPr>
              <w:t>0,09</w:t>
            </w:r>
          </w:p>
          <w:p w14:paraId="316C7F13" w14:textId="77777777" w:rsidR="004F28F7" w:rsidRPr="004F28F7" w:rsidRDefault="004F28F7" w:rsidP="004F28F7">
            <w:pPr>
              <w:pStyle w:val="b1fb1"/>
              <w:pBdr>
                <w:bottom w:val="single" w:sz="4" w:space="1" w:color="auto"/>
              </w:pBdr>
              <w:ind w:firstLine="0"/>
              <w:rPr>
                <w:rFonts w:ascii="Times New Roman" w:hAnsi="Times New Roman" w:cs="Times New Roman"/>
                <w:sz w:val="21"/>
                <w:szCs w:val="21"/>
              </w:rPr>
            </w:pPr>
            <w:r w:rsidRPr="004F28F7">
              <w:rPr>
                <w:rFonts w:ascii="Times New Roman" w:hAnsi="Times New Roman" w:cs="Times New Roman"/>
                <w:sz w:val="21"/>
                <w:szCs w:val="21"/>
              </w:rPr>
              <w:t>11</w:t>
            </w:r>
            <w:proofErr w:type="gramStart"/>
            <w:r w:rsidRPr="004F28F7">
              <w:rPr>
                <w:rFonts w:ascii="Times New Roman" w:hAnsi="Times New Roman" w:cs="Times New Roman"/>
                <w:sz w:val="21"/>
                <w:szCs w:val="21"/>
              </w:rPr>
              <w:t xml:space="preserve"> %</w:t>
            </w:r>
            <w:r w:rsidRPr="004F28F7">
              <w:rPr>
                <w:rFonts w:ascii="Times New Roman" w:hAnsi="Times New Roman" w:cs="Times New Roman"/>
                <w:sz w:val="21"/>
                <w:szCs w:val="21"/>
              </w:rPr>
              <w:tab/>
            </w:r>
            <w:proofErr w:type="gramEnd"/>
            <w:r w:rsidRPr="004F28F7">
              <w:rPr>
                <w:rFonts w:ascii="Times New Roman" w:hAnsi="Times New Roman" w:cs="Times New Roman"/>
                <w:sz w:val="21"/>
                <w:szCs w:val="21"/>
              </w:rPr>
              <w:tab/>
            </w:r>
            <w:r w:rsidRPr="004F28F7">
              <w:rPr>
                <w:rFonts w:ascii="Times New Roman" w:hAnsi="Times New Roman" w:cs="Times New Roman"/>
                <w:sz w:val="21"/>
                <w:szCs w:val="21"/>
              </w:rPr>
              <w:tab/>
            </w:r>
            <w:r w:rsidRPr="004F28F7">
              <w:rPr>
                <w:rFonts w:ascii="Times New Roman" w:hAnsi="Times New Roman" w:cs="Times New Roman"/>
                <w:sz w:val="21"/>
                <w:szCs w:val="21"/>
              </w:rPr>
              <w:tab/>
            </w:r>
            <w:r w:rsidRPr="004F28F7">
              <w:rPr>
                <w:rFonts w:ascii="Times New Roman" w:hAnsi="Times New Roman" w:cs="Times New Roman"/>
                <w:sz w:val="21"/>
                <w:szCs w:val="21"/>
              </w:rPr>
              <w:tab/>
            </w:r>
            <w:r w:rsidRPr="004F28F7">
              <w:rPr>
                <w:rFonts w:ascii="Times New Roman" w:hAnsi="Times New Roman" w:cs="Times New Roman"/>
                <w:sz w:val="21"/>
                <w:szCs w:val="21"/>
              </w:rPr>
              <w:tab/>
            </w:r>
            <w:r w:rsidRPr="004F28F7">
              <w:rPr>
                <w:rFonts w:ascii="Times New Roman" w:hAnsi="Times New Roman" w:cs="Times New Roman"/>
                <w:sz w:val="21"/>
                <w:szCs w:val="21"/>
              </w:rPr>
              <w:tab/>
              <w:t xml:space="preserve">6, 6 % = 0,6 </w:t>
            </w:r>
            <w:r w:rsidRPr="004F28F7">
              <w:rPr>
                <w:rFonts w:ascii="Times New Roman" w:hAnsi="Times New Roman" w:cs="Times New Roman"/>
                <w:w w:val="100"/>
                <w:sz w:val="21"/>
                <w:szCs w:val="21"/>
              </w:rPr>
              <w:t>· </w:t>
            </w:r>
            <w:r w:rsidRPr="004F28F7">
              <w:rPr>
                <w:rFonts w:ascii="Times New Roman" w:hAnsi="Times New Roman" w:cs="Times New Roman"/>
                <w:sz w:val="21"/>
                <w:szCs w:val="21"/>
              </w:rPr>
              <w:t xml:space="preserve">0,11                                                                      </w:t>
            </w:r>
          </w:p>
          <w:p w14:paraId="2A53D811" w14:textId="77777777" w:rsidR="004F28F7" w:rsidRPr="004F28F7" w:rsidRDefault="004F28F7" w:rsidP="004F28F7">
            <w:pPr>
              <w:pStyle w:val="b1fb1"/>
              <w:ind w:firstLine="0"/>
              <w:rPr>
                <w:rFonts w:ascii="Times New Roman" w:hAnsi="Times New Roman" w:cs="Times New Roman"/>
                <w:sz w:val="21"/>
                <w:szCs w:val="21"/>
              </w:rPr>
            </w:pPr>
          </w:p>
          <w:p w14:paraId="6D94C7AF" w14:textId="77777777" w:rsidR="004F28F7" w:rsidRPr="004F28F7" w:rsidRDefault="004F28F7" w:rsidP="004F28F7">
            <w:pPr>
              <w:pStyle w:val="b1fb1"/>
              <w:ind w:firstLine="0"/>
              <w:rPr>
                <w:rFonts w:ascii="Times New Roman" w:hAnsi="Times New Roman" w:cs="Times New Roman"/>
                <w:sz w:val="21"/>
                <w:szCs w:val="21"/>
              </w:rPr>
            </w:pPr>
            <w:r w:rsidRPr="004F28F7">
              <w:rPr>
                <w:rFonts w:ascii="Times New Roman" w:hAnsi="Times New Roman" w:cs="Times New Roman"/>
                <w:sz w:val="21"/>
                <w:szCs w:val="21"/>
              </w:rPr>
              <w:t xml:space="preserve">Disse tallene illustrerer at høyere internrente på tilbakeholdt resultat gir rom for høyere vekst: </w:t>
            </w:r>
          </w:p>
          <w:p w14:paraId="7FBD77A9" w14:textId="77777777" w:rsidR="004F28F7" w:rsidRPr="004F28F7" w:rsidRDefault="004F28F7" w:rsidP="004F28F7">
            <w:pPr>
              <w:pStyle w:val="b1fb1"/>
              <w:numPr>
                <w:ilvl w:val="0"/>
                <w:numId w:val="2"/>
              </w:numPr>
              <w:rPr>
                <w:rFonts w:ascii="Times New Roman" w:hAnsi="Times New Roman" w:cs="Times New Roman"/>
                <w:sz w:val="21"/>
                <w:szCs w:val="21"/>
              </w:rPr>
            </w:pPr>
            <w:r w:rsidRPr="004F28F7">
              <w:rPr>
                <w:rFonts w:ascii="Times New Roman" w:hAnsi="Times New Roman" w:cs="Times New Roman"/>
                <w:sz w:val="21"/>
                <w:szCs w:val="21"/>
              </w:rPr>
              <w:t>2 prosentpoeng høyere internrente på tilbakeholdt resultat (11 % i stedet for 9 %) øker veksten med 1,2 prosentpoeng (6,6 % i stedet for 5,4 %).</w:t>
            </w:r>
          </w:p>
          <w:p w14:paraId="22A48E99" w14:textId="77777777" w:rsidR="004F28F7" w:rsidRPr="004F28F7" w:rsidRDefault="004F28F7" w:rsidP="004F28F7">
            <w:pPr>
              <w:pStyle w:val="b1fb1"/>
              <w:ind w:firstLine="0"/>
              <w:rPr>
                <w:rFonts w:ascii="Times New Roman" w:hAnsi="Times New Roman" w:cs="Times New Roman"/>
                <w:sz w:val="21"/>
                <w:szCs w:val="21"/>
              </w:rPr>
            </w:pPr>
          </w:p>
          <w:p w14:paraId="1DFF5555" w14:textId="5908E532" w:rsidR="004F28F7" w:rsidRPr="004F28F7" w:rsidRDefault="004F28F7" w:rsidP="004F28F7">
            <w:pPr>
              <w:pStyle w:val="b1fb1"/>
              <w:ind w:firstLine="0"/>
              <w:rPr>
                <w:rFonts w:ascii="Times New Roman" w:hAnsi="Times New Roman" w:cs="Times New Roman"/>
                <w:sz w:val="21"/>
                <w:szCs w:val="21"/>
              </w:rPr>
            </w:pPr>
            <w:r w:rsidRPr="004F28F7">
              <w:rPr>
                <w:rFonts w:ascii="Times New Roman" w:hAnsi="Times New Roman" w:cs="Times New Roman"/>
                <w:sz w:val="21"/>
                <w:szCs w:val="21"/>
              </w:rPr>
              <w:tab/>
              <w:t>Spørsmålet er så om denne veksten er lønnsom. Dette spørsmålet kan besvares ved å beregne aksjekursen fra dividendemodellen i (</w:t>
            </w:r>
            <w:r w:rsidRPr="004F28F7">
              <w:rPr>
                <w:rFonts w:ascii="Times New Roman" w:hAnsi="Times New Roman" w:cs="Times New Roman"/>
                <w:w w:val="100"/>
                <w:sz w:val="21"/>
                <w:szCs w:val="21"/>
              </w:rPr>
              <w:t>5.9)</w:t>
            </w:r>
            <w:r w:rsidRPr="004F28F7">
              <w:rPr>
                <w:rFonts w:ascii="Times New Roman" w:hAnsi="Times New Roman" w:cs="Times New Roman"/>
                <w:sz w:val="21"/>
                <w:szCs w:val="21"/>
              </w:rPr>
              <w:t>. Vi bruker tallene som nå er beregnet for startdividende og dividendevekst under de to alternative forutsetningene om internrenten på tilbakeholdt resultat.</w:t>
            </w:r>
          </w:p>
          <w:p w14:paraId="677957DF" w14:textId="77777777" w:rsidR="004F28F7" w:rsidRPr="004F28F7" w:rsidRDefault="004F28F7" w:rsidP="004F28F7">
            <w:pPr>
              <w:pStyle w:val="b1fb1"/>
              <w:ind w:firstLine="0"/>
              <w:rPr>
                <w:rFonts w:ascii="Times New Roman" w:hAnsi="Times New Roman" w:cs="Times New Roman"/>
                <w:sz w:val="21"/>
                <w:szCs w:val="21"/>
              </w:rPr>
            </w:pPr>
          </w:p>
          <w:p w14:paraId="352CF67B" w14:textId="77777777" w:rsidR="004F28F7" w:rsidRPr="004F28F7" w:rsidRDefault="004F28F7" w:rsidP="004F28F7">
            <w:pPr>
              <w:pStyle w:val="b1fb1"/>
              <w:pBdr>
                <w:bottom w:val="single" w:sz="4" w:space="1" w:color="auto"/>
              </w:pBdr>
              <w:ind w:firstLine="0"/>
              <w:rPr>
                <w:rFonts w:ascii="Times New Roman" w:hAnsi="Times New Roman" w:cs="Times New Roman"/>
                <w:w w:val="100"/>
                <w:sz w:val="21"/>
                <w:szCs w:val="21"/>
              </w:rPr>
            </w:pPr>
            <w:r w:rsidRPr="004F28F7">
              <w:rPr>
                <w:rFonts w:ascii="Times New Roman" w:hAnsi="Times New Roman" w:cs="Times New Roman"/>
                <w:sz w:val="21"/>
                <w:szCs w:val="21"/>
              </w:rPr>
              <w:t>Internrente</w:t>
            </w:r>
            <w:r w:rsidRPr="004F28F7">
              <w:rPr>
                <w:rFonts w:ascii="Times New Roman" w:hAnsi="Times New Roman" w:cs="Times New Roman"/>
                <w:sz w:val="21"/>
                <w:szCs w:val="21"/>
              </w:rPr>
              <w:tab/>
            </w:r>
            <w:r w:rsidRPr="004F28F7">
              <w:rPr>
                <w:rFonts w:ascii="Times New Roman" w:hAnsi="Times New Roman" w:cs="Times New Roman"/>
                <w:sz w:val="21"/>
                <w:szCs w:val="21"/>
              </w:rPr>
              <w:tab/>
              <w:t>Startdividende (</w:t>
            </w:r>
            <w:r w:rsidRPr="004F28F7">
              <w:rPr>
                <w:rFonts w:ascii="Times New Roman" w:hAnsi="Times New Roman" w:cs="Times New Roman"/>
                <w:i/>
                <w:sz w:val="21"/>
                <w:szCs w:val="21"/>
              </w:rPr>
              <w:t>D</w:t>
            </w:r>
            <w:r w:rsidRPr="004F28F7">
              <w:rPr>
                <w:rFonts w:ascii="Times New Roman" w:hAnsi="Times New Roman" w:cs="Times New Roman"/>
                <w:i/>
                <w:sz w:val="21"/>
                <w:szCs w:val="21"/>
                <w:vertAlign w:val="subscript"/>
              </w:rPr>
              <w:t>1</w:t>
            </w:r>
            <w:r w:rsidRPr="004F28F7">
              <w:rPr>
                <w:rFonts w:ascii="Times New Roman" w:hAnsi="Times New Roman" w:cs="Times New Roman"/>
                <w:sz w:val="21"/>
                <w:szCs w:val="21"/>
              </w:rPr>
              <w:t>)</w:t>
            </w:r>
            <w:r w:rsidRPr="004F28F7">
              <w:rPr>
                <w:rFonts w:ascii="Times New Roman" w:hAnsi="Times New Roman" w:cs="Times New Roman"/>
                <w:sz w:val="21"/>
                <w:szCs w:val="21"/>
              </w:rPr>
              <w:tab/>
            </w:r>
            <w:r w:rsidRPr="004F28F7">
              <w:rPr>
                <w:rFonts w:ascii="Times New Roman" w:hAnsi="Times New Roman" w:cs="Times New Roman"/>
                <w:sz w:val="21"/>
                <w:szCs w:val="21"/>
              </w:rPr>
              <w:tab/>
              <w:t>Kapitalkostnad (</w:t>
            </w:r>
            <w:r w:rsidRPr="004F28F7">
              <w:rPr>
                <w:rFonts w:ascii="Times New Roman" w:hAnsi="Times New Roman" w:cs="Times New Roman"/>
                <w:i/>
                <w:sz w:val="21"/>
                <w:szCs w:val="21"/>
              </w:rPr>
              <w:t>r</w:t>
            </w:r>
            <w:r w:rsidRPr="004F28F7">
              <w:rPr>
                <w:rFonts w:ascii="Times New Roman" w:hAnsi="Times New Roman" w:cs="Times New Roman"/>
                <w:sz w:val="21"/>
                <w:szCs w:val="21"/>
              </w:rPr>
              <w:t>)</w:t>
            </w:r>
            <w:r w:rsidRPr="004F28F7">
              <w:rPr>
                <w:rFonts w:ascii="Times New Roman" w:hAnsi="Times New Roman" w:cs="Times New Roman"/>
                <w:sz w:val="21"/>
                <w:szCs w:val="21"/>
              </w:rPr>
              <w:tab/>
              <w:t>Vekst (</w:t>
            </w:r>
            <w:r w:rsidRPr="004F28F7">
              <w:rPr>
                <w:rFonts w:ascii="Times New Roman" w:hAnsi="Times New Roman" w:cs="Times New Roman"/>
                <w:i/>
                <w:sz w:val="21"/>
                <w:szCs w:val="21"/>
              </w:rPr>
              <w:t>v</w:t>
            </w:r>
            <w:r w:rsidRPr="004F28F7">
              <w:rPr>
                <w:rFonts w:ascii="Times New Roman" w:hAnsi="Times New Roman" w:cs="Times New Roman"/>
                <w:sz w:val="21"/>
                <w:szCs w:val="21"/>
              </w:rPr>
              <w:t>)</w:t>
            </w:r>
            <w:r w:rsidRPr="004F28F7">
              <w:rPr>
                <w:rFonts w:ascii="Times New Roman" w:hAnsi="Times New Roman" w:cs="Times New Roman"/>
                <w:sz w:val="21"/>
                <w:szCs w:val="21"/>
              </w:rPr>
              <w:tab/>
            </w:r>
            <w:r w:rsidRPr="004F28F7">
              <w:rPr>
                <w:rFonts w:ascii="Times New Roman" w:hAnsi="Times New Roman" w:cs="Times New Roman"/>
                <w:sz w:val="21"/>
                <w:szCs w:val="21"/>
              </w:rPr>
              <w:tab/>
              <w:t>Aksjekurs (P</w:t>
            </w:r>
            <w:r w:rsidRPr="004F28F7">
              <w:rPr>
                <w:rFonts w:ascii="Times New Roman" w:hAnsi="Times New Roman" w:cs="Times New Roman"/>
                <w:sz w:val="21"/>
                <w:szCs w:val="21"/>
                <w:vertAlign w:val="subscript"/>
              </w:rPr>
              <w:t>0</w:t>
            </w:r>
            <w:r w:rsidRPr="004F28F7">
              <w:rPr>
                <w:rFonts w:ascii="Times New Roman" w:hAnsi="Times New Roman" w:cs="Times New Roman"/>
                <w:sz w:val="21"/>
                <w:szCs w:val="21"/>
              </w:rPr>
              <w:t xml:space="preserve"> = D</w:t>
            </w:r>
            <w:r w:rsidRPr="004F28F7">
              <w:rPr>
                <w:rFonts w:ascii="Times New Roman" w:hAnsi="Times New Roman" w:cs="Times New Roman"/>
                <w:sz w:val="21"/>
                <w:szCs w:val="21"/>
                <w:vertAlign w:val="subscript"/>
              </w:rPr>
              <w:t>1</w:t>
            </w:r>
            <w:r w:rsidRPr="004F28F7">
              <w:rPr>
                <w:rFonts w:ascii="Times New Roman" w:hAnsi="Times New Roman" w:cs="Times New Roman"/>
                <w:sz w:val="21"/>
                <w:szCs w:val="21"/>
              </w:rPr>
              <w:t xml:space="preserve"> / (r – v))</w:t>
            </w:r>
          </w:p>
          <w:p w14:paraId="18F898D0" w14:textId="77777777" w:rsidR="004F28F7" w:rsidRPr="004F28F7" w:rsidRDefault="004F28F7" w:rsidP="004F28F7">
            <w:pPr>
              <w:pStyle w:val="b1fb1"/>
              <w:ind w:firstLine="0"/>
              <w:rPr>
                <w:rFonts w:ascii="Times New Roman" w:hAnsi="Times New Roman" w:cs="Times New Roman"/>
                <w:sz w:val="21"/>
                <w:szCs w:val="21"/>
              </w:rPr>
            </w:pPr>
            <w:r w:rsidRPr="004F28F7">
              <w:rPr>
                <w:rFonts w:ascii="Times New Roman" w:hAnsi="Times New Roman" w:cs="Times New Roman"/>
                <w:sz w:val="21"/>
                <w:szCs w:val="21"/>
              </w:rPr>
              <w:t>9</w:t>
            </w:r>
            <w:proofErr w:type="gramStart"/>
            <w:r w:rsidRPr="004F28F7">
              <w:rPr>
                <w:rFonts w:ascii="Times New Roman" w:hAnsi="Times New Roman" w:cs="Times New Roman"/>
                <w:sz w:val="21"/>
                <w:szCs w:val="21"/>
              </w:rPr>
              <w:t xml:space="preserve"> %</w:t>
            </w:r>
            <w:r w:rsidRPr="004F28F7">
              <w:rPr>
                <w:rFonts w:ascii="Times New Roman" w:hAnsi="Times New Roman" w:cs="Times New Roman"/>
                <w:sz w:val="21"/>
                <w:szCs w:val="21"/>
              </w:rPr>
              <w:tab/>
            </w:r>
            <w:proofErr w:type="gramEnd"/>
            <w:r w:rsidRPr="004F28F7">
              <w:rPr>
                <w:rFonts w:ascii="Times New Roman" w:hAnsi="Times New Roman" w:cs="Times New Roman"/>
                <w:sz w:val="21"/>
                <w:szCs w:val="21"/>
              </w:rPr>
              <w:tab/>
            </w:r>
            <w:r w:rsidRPr="004F28F7">
              <w:rPr>
                <w:rFonts w:ascii="Times New Roman" w:hAnsi="Times New Roman" w:cs="Times New Roman"/>
                <w:sz w:val="21"/>
                <w:szCs w:val="21"/>
              </w:rPr>
              <w:tab/>
            </w:r>
            <w:r w:rsidRPr="004F28F7">
              <w:rPr>
                <w:rFonts w:ascii="Times New Roman" w:hAnsi="Times New Roman" w:cs="Times New Roman"/>
                <w:sz w:val="21"/>
                <w:szCs w:val="21"/>
              </w:rPr>
              <w:tab/>
              <w:t>20 kr</w:t>
            </w:r>
            <w:r w:rsidRPr="004F28F7">
              <w:rPr>
                <w:rFonts w:ascii="Times New Roman" w:hAnsi="Times New Roman" w:cs="Times New Roman"/>
                <w:sz w:val="21"/>
                <w:szCs w:val="21"/>
              </w:rPr>
              <w:tab/>
            </w:r>
            <w:r w:rsidRPr="004F28F7">
              <w:rPr>
                <w:rFonts w:ascii="Times New Roman" w:hAnsi="Times New Roman" w:cs="Times New Roman"/>
                <w:sz w:val="21"/>
                <w:szCs w:val="21"/>
              </w:rPr>
              <w:tab/>
            </w:r>
            <w:r w:rsidRPr="004F28F7">
              <w:rPr>
                <w:rFonts w:ascii="Times New Roman" w:hAnsi="Times New Roman" w:cs="Times New Roman"/>
                <w:sz w:val="21"/>
                <w:szCs w:val="21"/>
              </w:rPr>
              <w:tab/>
            </w:r>
            <w:r w:rsidRPr="004F28F7">
              <w:rPr>
                <w:rFonts w:ascii="Times New Roman" w:hAnsi="Times New Roman" w:cs="Times New Roman"/>
                <w:sz w:val="21"/>
                <w:szCs w:val="21"/>
              </w:rPr>
              <w:tab/>
            </w:r>
            <w:r w:rsidRPr="004F28F7">
              <w:rPr>
                <w:rFonts w:ascii="Times New Roman" w:hAnsi="Times New Roman" w:cs="Times New Roman"/>
                <w:sz w:val="21"/>
                <w:szCs w:val="21"/>
              </w:rPr>
              <w:tab/>
            </w:r>
            <w:r w:rsidRPr="004F28F7">
              <w:rPr>
                <w:rFonts w:ascii="Times New Roman" w:hAnsi="Times New Roman" w:cs="Times New Roman"/>
                <w:sz w:val="21"/>
                <w:szCs w:val="21"/>
              </w:rPr>
              <w:tab/>
              <w:t>10 %</w:t>
            </w:r>
            <w:r w:rsidRPr="004F28F7">
              <w:rPr>
                <w:rFonts w:ascii="Times New Roman" w:hAnsi="Times New Roman" w:cs="Times New Roman"/>
                <w:sz w:val="21"/>
                <w:szCs w:val="21"/>
              </w:rPr>
              <w:tab/>
            </w:r>
            <w:r w:rsidRPr="004F28F7">
              <w:rPr>
                <w:rFonts w:ascii="Times New Roman" w:hAnsi="Times New Roman" w:cs="Times New Roman"/>
                <w:sz w:val="21"/>
                <w:szCs w:val="21"/>
              </w:rPr>
              <w:tab/>
            </w:r>
            <w:r w:rsidRPr="004F28F7">
              <w:rPr>
                <w:rFonts w:ascii="Times New Roman" w:hAnsi="Times New Roman" w:cs="Times New Roman"/>
                <w:sz w:val="21"/>
                <w:szCs w:val="21"/>
              </w:rPr>
              <w:tab/>
              <w:t xml:space="preserve">5,4 % </w:t>
            </w:r>
            <w:r w:rsidRPr="004F28F7">
              <w:rPr>
                <w:rFonts w:ascii="Times New Roman" w:hAnsi="Times New Roman" w:cs="Times New Roman"/>
                <w:sz w:val="21"/>
                <w:szCs w:val="21"/>
              </w:rPr>
              <w:tab/>
            </w:r>
            <w:r w:rsidRPr="004F28F7">
              <w:rPr>
                <w:rFonts w:ascii="Times New Roman" w:hAnsi="Times New Roman" w:cs="Times New Roman"/>
                <w:sz w:val="21"/>
                <w:szCs w:val="21"/>
              </w:rPr>
              <w:tab/>
              <w:t>434 = 20 /</w:t>
            </w:r>
            <w:r w:rsidRPr="004F28F7">
              <w:rPr>
                <w:rFonts w:ascii="Times New Roman" w:hAnsi="Times New Roman" w:cs="Times New Roman"/>
                <w:w w:val="100"/>
                <w:sz w:val="21"/>
                <w:szCs w:val="21"/>
              </w:rPr>
              <w:t> (</w:t>
            </w:r>
            <w:r w:rsidRPr="004F28F7">
              <w:rPr>
                <w:rFonts w:ascii="Times New Roman" w:hAnsi="Times New Roman" w:cs="Times New Roman"/>
                <w:sz w:val="21"/>
                <w:szCs w:val="21"/>
              </w:rPr>
              <w:t>0,10 – 0,054)</w:t>
            </w:r>
          </w:p>
          <w:p w14:paraId="140B2C05" w14:textId="77777777" w:rsidR="004F28F7" w:rsidRPr="004F28F7" w:rsidRDefault="004F28F7" w:rsidP="004F28F7">
            <w:pPr>
              <w:pStyle w:val="b1fb1"/>
              <w:pBdr>
                <w:bottom w:val="single" w:sz="4" w:space="1" w:color="auto"/>
              </w:pBdr>
              <w:ind w:firstLine="0"/>
              <w:rPr>
                <w:rFonts w:ascii="Times New Roman" w:hAnsi="Times New Roman" w:cs="Times New Roman"/>
                <w:sz w:val="21"/>
                <w:szCs w:val="21"/>
              </w:rPr>
            </w:pPr>
            <w:r w:rsidRPr="004F28F7">
              <w:rPr>
                <w:rFonts w:ascii="Times New Roman" w:hAnsi="Times New Roman" w:cs="Times New Roman"/>
                <w:sz w:val="21"/>
                <w:szCs w:val="21"/>
              </w:rPr>
              <w:t>11</w:t>
            </w:r>
            <w:proofErr w:type="gramStart"/>
            <w:r w:rsidRPr="004F28F7">
              <w:rPr>
                <w:rFonts w:ascii="Times New Roman" w:hAnsi="Times New Roman" w:cs="Times New Roman"/>
                <w:sz w:val="21"/>
                <w:szCs w:val="21"/>
              </w:rPr>
              <w:t xml:space="preserve"> %</w:t>
            </w:r>
            <w:r w:rsidRPr="004F28F7">
              <w:rPr>
                <w:rFonts w:ascii="Times New Roman" w:hAnsi="Times New Roman" w:cs="Times New Roman"/>
                <w:sz w:val="21"/>
                <w:szCs w:val="21"/>
              </w:rPr>
              <w:tab/>
            </w:r>
            <w:proofErr w:type="gramEnd"/>
            <w:r w:rsidRPr="004F28F7">
              <w:rPr>
                <w:rFonts w:ascii="Times New Roman" w:hAnsi="Times New Roman" w:cs="Times New Roman"/>
                <w:sz w:val="21"/>
                <w:szCs w:val="21"/>
              </w:rPr>
              <w:tab/>
            </w:r>
            <w:r w:rsidRPr="004F28F7">
              <w:rPr>
                <w:rFonts w:ascii="Times New Roman" w:hAnsi="Times New Roman" w:cs="Times New Roman"/>
                <w:sz w:val="21"/>
                <w:szCs w:val="21"/>
              </w:rPr>
              <w:tab/>
            </w:r>
            <w:r w:rsidRPr="004F28F7">
              <w:rPr>
                <w:rFonts w:ascii="Times New Roman" w:hAnsi="Times New Roman" w:cs="Times New Roman"/>
                <w:sz w:val="21"/>
                <w:szCs w:val="21"/>
              </w:rPr>
              <w:tab/>
              <w:t>20 kr</w:t>
            </w:r>
            <w:r w:rsidRPr="004F28F7">
              <w:rPr>
                <w:rFonts w:ascii="Times New Roman" w:hAnsi="Times New Roman" w:cs="Times New Roman"/>
                <w:sz w:val="21"/>
                <w:szCs w:val="21"/>
              </w:rPr>
              <w:tab/>
            </w:r>
            <w:r w:rsidRPr="004F28F7">
              <w:rPr>
                <w:rFonts w:ascii="Times New Roman" w:hAnsi="Times New Roman" w:cs="Times New Roman"/>
                <w:sz w:val="21"/>
                <w:szCs w:val="21"/>
              </w:rPr>
              <w:tab/>
            </w:r>
            <w:r w:rsidRPr="004F28F7">
              <w:rPr>
                <w:rFonts w:ascii="Times New Roman" w:hAnsi="Times New Roman" w:cs="Times New Roman"/>
                <w:sz w:val="21"/>
                <w:szCs w:val="21"/>
              </w:rPr>
              <w:tab/>
            </w:r>
            <w:r w:rsidRPr="004F28F7">
              <w:rPr>
                <w:rFonts w:ascii="Times New Roman" w:hAnsi="Times New Roman" w:cs="Times New Roman"/>
                <w:sz w:val="21"/>
                <w:szCs w:val="21"/>
              </w:rPr>
              <w:tab/>
            </w:r>
            <w:r w:rsidRPr="004F28F7">
              <w:rPr>
                <w:rFonts w:ascii="Times New Roman" w:hAnsi="Times New Roman" w:cs="Times New Roman"/>
                <w:sz w:val="21"/>
                <w:szCs w:val="21"/>
              </w:rPr>
              <w:tab/>
            </w:r>
            <w:r w:rsidRPr="004F28F7">
              <w:rPr>
                <w:rFonts w:ascii="Times New Roman" w:hAnsi="Times New Roman" w:cs="Times New Roman"/>
                <w:sz w:val="21"/>
                <w:szCs w:val="21"/>
              </w:rPr>
              <w:tab/>
              <w:t>10 %</w:t>
            </w:r>
            <w:r w:rsidRPr="004F28F7">
              <w:rPr>
                <w:rFonts w:ascii="Times New Roman" w:hAnsi="Times New Roman" w:cs="Times New Roman"/>
                <w:sz w:val="21"/>
                <w:szCs w:val="21"/>
              </w:rPr>
              <w:tab/>
            </w:r>
            <w:r w:rsidRPr="004F28F7">
              <w:rPr>
                <w:rFonts w:ascii="Times New Roman" w:hAnsi="Times New Roman" w:cs="Times New Roman"/>
                <w:sz w:val="21"/>
                <w:szCs w:val="21"/>
              </w:rPr>
              <w:tab/>
            </w:r>
            <w:r w:rsidRPr="004F28F7">
              <w:rPr>
                <w:rFonts w:ascii="Times New Roman" w:hAnsi="Times New Roman" w:cs="Times New Roman"/>
                <w:sz w:val="21"/>
                <w:szCs w:val="21"/>
              </w:rPr>
              <w:tab/>
              <w:t>6,6 %</w:t>
            </w:r>
            <w:r w:rsidRPr="004F28F7">
              <w:rPr>
                <w:rFonts w:ascii="Times New Roman" w:hAnsi="Times New Roman" w:cs="Times New Roman"/>
                <w:sz w:val="21"/>
                <w:szCs w:val="21"/>
              </w:rPr>
              <w:tab/>
            </w:r>
            <w:r w:rsidRPr="004F28F7">
              <w:rPr>
                <w:rFonts w:ascii="Times New Roman" w:hAnsi="Times New Roman" w:cs="Times New Roman"/>
                <w:sz w:val="21"/>
                <w:szCs w:val="21"/>
              </w:rPr>
              <w:tab/>
              <w:t>588 = 20 /</w:t>
            </w:r>
            <w:r w:rsidRPr="004F28F7">
              <w:rPr>
                <w:rFonts w:ascii="Times New Roman" w:hAnsi="Times New Roman" w:cs="Times New Roman"/>
                <w:w w:val="100"/>
                <w:sz w:val="21"/>
                <w:szCs w:val="21"/>
              </w:rPr>
              <w:t> (</w:t>
            </w:r>
            <w:r w:rsidRPr="004F28F7">
              <w:rPr>
                <w:rFonts w:ascii="Times New Roman" w:hAnsi="Times New Roman" w:cs="Times New Roman"/>
                <w:sz w:val="21"/>
                <w:szCs w:val="21"/>
              </w:rPr>
              <w:t xml:space="preserve">0,10 – 0,066)      </w:t>
            </w:r>
          </w:p>
          <w:p w14:paraId="0BA48819" w14:textId="77777777" w:rsidR="004F28F7" w:rsidRPr="004F28F7" w:rsidRDefault="004F28F7" w:rsidP="004F28F7">
            <w:pPr>
              <w:pStyle w:val="b1fb1"/>
              <w:ind w:firstLine="0"/>
              <w:rPr>
                <w:rFonts w:ascii="Times New Roman" w:hAnsi="Times New Roman" w:cs="Times New Roman"/>
                <w:sz w:val="21"/>
                <w:szCs w:val="21"/>
              </w:rPr>
            </w:pPr>
          </w:p>
          <w:p w14:paraId="26AA0A52" w14:textId="1160B397" w:rsidR="004F28F7" w:rsidRPr="001877B8" w:rsidRDefault="004F28F7" w:rsidP="004F28F7">
            <w:pPr>
              <w:pStyle w:val="a1fa1"/>
              <w:spacing w:after="160" w:line="280" w:lineRule="atLeast"/>
              <w:ind w:right="240"/>
              <w:rPr>
                <w:rFonts w:ascii="Times New Roman" w:hAnsi="Times New Roman" w:cs="Times New Roman"/>
                <w:lang w:val="nb-NO"/>
              </w:rPr>
            </w:pPr>
            <w:r w:rsidRPr="004F28F7">
              <w:rPr>
                <w:rFonts w:ascii="Times New Roman" w:hAnsi="Times New Roman" w:cs="Times New Roman"/>
                <w:lang w:val="nb-NO"/>
              </w:rPr>
              <w:t>Dividendemodellen tilsier at vekststrategien, som reduserer startdividenden fra 50 til 20 kroner pr. aksje på grunn av økt investering, vil redusere kursen fra dagens 500 kroner til 434 kroner hvis den økte investeringen gir 9 % internrente. Dividendeveksten på 5,4 % i all overskuelig fremtid er altså ikke tilstrekkelig til å oppveie for redusert dividende de første årene. Kursen vil derimot øke fra 500 kroner til 588 kroner hvis internrenten er 11 %, som gir en dividendevekst på 6,6</w:t>
            </w:r>
            <w:r>
              <w:rPr>
                <w:rFonts w:ascii="Times New Roman" w:hAnsi="Times New Roman" w:cs="Times New Roman"/>
                <w:lang w:val="nb-NO"/>
              </w:rPr>
              <w:t> %</w:t>
            </w:r>
            <w:r w:rsidRPr="001877B8">
              <w:rPr>
                <w:rFonts w:ascii="Times New Roman" w:hAnsi="Times New Roman" w:cs="Times New Roman"/>
                <w:lang w:val="nb-NO"/>
              </w:rPr>
              <w:t>.</w:t>
            </w:r>
          </w:p>
        </w:tc>
      </w:tr>
    </w:tbl>
    <w:p w14:paraId="06590BA6" w14:textId="77777777" w:rsidR="004F28F7" w:rsidRDefault="004F28F7" w:rsidP="003E024E">
      <w:pPr>
        <w:pStyle w:val="b1fb1"/>
        <w:ind w:firstLine="0"/>
        <w:rPr>
          <w:rFonts w:ascii="Times New Roman" w:hAnsi="Times New Roman" w:cs="Times New Roman"/>
          <w:sz w:val="21"/>
          <w:szCs w:val="21"/>
        </w:rPr>
      </w:pPr>
    </w:p>
    <w:p w14:paraId="5821D415" w14:textId="2F4B7D43" w:rsidR="003E024E" w:rsidRPr="004F28F7" w:rsidRDefault="003E024E" w:rsidP="003E024E">
      <w:pPr>
        <w:pStyle w:val="b1fb1"/>
        <w:ind w:firstLine="0"/>
        <w:rPr>
          <w:rFonts w:ascii="Times New Roman" w:hAnsi="Times New Roman" w:cs="Times New Roman"/>
          <w:sz w:val="21"/>
          <w:szCs w:val="21"/>
        </w:rPr>
      </w:pPr>
      <w:r w:rsidRPr="004F28F7">
        <w:rPr>
          <w:rFonts w:ascii="Times New Roman" w:hAnsi="Times New Roman" w:cs="Times New Roman"/>
          <w:sz w:val="21"/>
          <w:szCs w:val="21"/>
        </w:rPr>
        <w:t xml:space="preserve">Dette resultatet om lønnsom kontra ulønnsom vekst fra dividendemodellen </w:t>
      </w:r>
      <w:r w:rsidR="00E36653" w:rsidRPr="004F28F7">
        <w:rPr>
          <w:rFonts w:ascii="Times New Roman" w:hAnsi="Times New Roman" w:cs="Times New Roman"/>
          <w:sz w:val="21"/>
          <w:szCs w:val="21"/>
        </w:rPr>
        <w:t>i eksempel N.5.10</w:t>
      </w:r>
      <w:r w:rsidRPr="004F28F7">
        <w:rPr>
          <w:rFonts w:ascii="Times New Roman" w:hAnsi="Times New Roman" w:cs="Times New Roman"/>
          <w:sz w:val="21"/>
          <w:szCs w:val="21"/>
        </w:rPr>
        <w:t xml:space="preserve"> er også forenlig med internrentemodellen i del 4.4. Internrentemodellen sier at investeringsprosjektet øker eiernes formue (skaper positiv nåverdi) hvis prosjektets internrente overstiger kapit</w:t>
      </w:r>
      <w:r w:rsidR="00E36653" w:rsidRPr="004F28F7">
        <w:rPr>
          <w:rFonts w:ascii="Times New Roman" w:hAnsi="Times New Roman" w:cs="Times New Roman"/>
          <w:sz w:val="21"/>
          <w:szCs w:val="21"/>
        </w:rPr>
        <w:t>alkostnaden. I eksempel N.5.10</w:t>
      </w:r>
      <w:r w:rsidRPr="004F28F7">
        <w:rPr>
          <w:rFonts w:ascii="Times New Roman" w:hAnsi="Times New Roman" w:cs="Times New Roman"/>
          <w:sz w:val="21"/>
          <w:szCs w:val="21"/>
        </w:rPr>
        <w:t xml:space="preserve"> er kapitalkostnaden 10</w:t>
      </w:r>
      <w:r w:rsidR="00C347FC" w:rsidRPr="004F28F7">
        <w:rPr>
          <w:rFonts w:ascii="Times New Roman" w:hAnsi="Times New Roman" w:cs="Times New Roman"/>
          <w:sz w:val="21"/>
          <w:szCs w:val="21"/>
        </w:rPr>
        <w:t xml:space="preserve"> </w:t>
      </w:r>
      <w:r w:rsidRPr="004F28F7">
        <w:rPr>
          <w:rFonts w:ascii="Times New Roman" w:hAnsi="Times New Roman" w:cs="Times New Roman"/>
          <w:sz w:val="21"/>
          <w:szCs w:val="21"/>
        </w:rPr>
        <w:t>%. Derfor vil vekststrategien skape verdier for eierne hvis internrenten på denne veksten er 11 %. Derimot vil veksten være ulønnsom hvis internrenten er 9 %, siden denne er lavere enn kapitalkostnaden. Dividendemodellen sier at aksjekursen st</w:t>
      </w:r>
      <w:r w:rsidR="00C347FC" w:rsidRPr="004F28F7">
        <w:rPr>
          <w:rFonts w:ascii="Times New Roman" w:hAnsi="Times New Roman" w:cs="Times New Roman"/>
          <w:sz w:val="21"/>
          <w:szCs w:val="21"/>
        </w:rPr>
        <w:t>iger i det første tilfellet, og at den</w:t>
      </w:r>
      <w:r w:rsidRPr="004F28F7">
        <w:rPr>
          <w:rFonts w:ascii="Times New Roman" w:hAnsi="Times New Roman" w:cs="Times New Roman"/>
          <w:sz w:val="21"/>
          <w:szCs w:val="21"/>
        </w:rPr>
        <w:t xml:space="preserve"> faller i det andre.</w:t>
      </w:r>
    </w:p>
    <w:p w14:paraId="24D20977" w14:textId="77777777" w:rsidR="0019388A" w:rsidRPr="004F28F7" w:rsidRDefault="0019388A">
      <w:pPr>
        <w:rPr>
          <w:rFonts w:ascii="Times New Roman" w:hAnsi="Times New Roman" w:cs="Times New Roman"/>
        </w:rPr>
      </w:pPr>
    </w:p>
    <w:sectPr w:rsidR="0019388A" w:rsidRPr="004F28F7">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62AF25" w15:done="0"/>
  <w15:commentEx w15:paraId="7DC31FA7" w15:done="0"/>
  <w15:commentEx w15:paraId="5AEA5D8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0000000000000000000"/>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inion">
    <w:altName w:val="Times New Roman"/>
    <w:panose1 w:val="00000000000000000000"/>
    <w:charset w:val="00"/>
    <w:family w:val="roman"/>
    <w:notTrueType/>
    <w:pitch w:val="variable"/>
    <w:sig w:usb0="00000003" w:usb1="00000000" w:usb2="00000000" w:usb3="00000000" w:csb0="00000001" w:csb1="00000000"/>
  </w:font>
  <w:font w:name="RotisSemiSans ExtraBold">
    <w:altName w:val="Times New Roman"/>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imes">
    <w:panose1 w:val="02020603060405020304"/>
    <w:charset w:val="00"/>
    <w:family w:val="roman"/>
    <w:pitch w:val="variable"/>
    <w:sig w:usb0="20002A87" w:usb1="00000000" w:usb2="00000000" w:usb3="00000000" w:csb0="000001FF" w:csb1="00000000"/>
  </w:font>
  <w:font w:name="Kievit-Medium">
    <w:altName w:val="Cambria"/>
    <w:panose1 w:val="00000000000000000000"/>
    <w:charset w:val="00"/>
    <w:family w:val="modern"/>
    <w:notTrueType/>
    <w:pitch w:val="variable"/>
    <w:sig w:usb0="00000003" w:usb1="00000000" w:usb2="00000000" w:usb3="00000000" w:csb0="00000001" w:csb1="00000000"/>
  </w:font>
  <w:font w:name="RotisSerif">
    <w:altName w:val="Times New Roman"/>
    <w:panose1 w:val="00000000000000000000"/>
    <w:charset w:val="00"/>
    <w:family w:val="roman"/>
    <w:notTrueType/>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27343B"/>
    <w:multiLevelType w:val="hybridMultilevel"/>
    <w:tmpl w:val="FD6CD8BC"/>
    <w:lvl w:ilvl="0" w:tplc="2AA67BAE">
      <w:start w:val="1"/>
      <w:numFmt w:val="decimal"/>
      <w:pStyle w:val="Merknadstekst"/>
      <w:lvlText w:val="(%1)"/>
      <w:lvlJc w:val="right"/>
      <w:pPr>
        <w:ind w:left="720" w:hanging="360"/>
      </w:pPr>
      <w:rPr>
        <w:rFonts w:hint="default"/>
        <w:i w:val="0"/>
        <w:sz w:val="2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7BCD2BB9"/>
    <w:multiLevelType w:val="hybridMultilevel"/>
    <w:tmpl w:val="266C44D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øhren, Øyvind">
    <w15:presenceInfo w15:providerId="None" w15:userId="Bøhren, Øyvi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24E"/>
    <w:rsid w:val="00180F08"/>
    <w:rsid w:val="0019388A"/>
    <w:rsid w:val="001A055B"/>
    <w:rsid w:val="00274494"/>
    <w:rsid w:val="003E024E"/>
    <w:rsid w:val="004B14DA"/>
    <w:rsid w:val="004F28F7"/>
    <w:rsid w:val="00692B18"/>
    <w:rsid w:val="007F0252"/>
    <w:rsid w:val="00846D95"/>
    <w:rsid w:val="00866A03"/>
    <w:rsid w:val="00866A23"/>
    <w:rsid w:val="008F4FA4"/>
    <w:rsid w:val="00A21718"/>
    <w:rsid w:val="00B1054A"/>
    <w:rsid w:val="00C347FC"/>
    <w:rsid w:val="00CB58A2"/>
    <w:rsid w:val="00D146E6"/>
    <w:rsid w:val="00DD24CE"/>
    <w:rsid w:val="00E36653"/>
    <w:rsid w:val="00EE5721"/>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6A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B18"/>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692B18"/>
    <w:pPr>
      <w:ind w:left="720"/>
      <w:contextualSpacing/>
    </w:pPr>
  </w:style>
  <w:style w:type="character" w:styleId="Merknadsreferanse">
    <w:name w:val="annotation reference"/>
    <w:uiPriority w:val="99"/>
    <w:rsid w:val="003E024E"/>
    <w:rPr>
      <w:sz w:val="16"/>
      <w:szCs w:val="16"/>
    </w:rPr>
  </w:style>
  <w:style w:type="paragraph" w:styleId="Merknadstekst">
    <w:name w:val="annotation text"/>
    <w:basedOn w:val="Normal"/>
    <w:link w:val="MerknadstekstTegn"/>
    <w:uiPriority w:val="99"/>
    <w:rsid w:val="003E024E"/>
    <w:pPr>
      <w:numPr>
        <w:numId w:val="1"/>
      </w:numPr>
      <w:spacing w:before="120" w:after="120" w:line="240" w:lineRule="auto"/>
    </w:pPr>
    <w:rPr>
      <w:rFonts w:ascii="Times New Roman" w:eastAsia="Times New Roman" w:hAnsi="Times New Roman" w:cs="Times New Roman"/>
      <w:sz w:val="20"/>
      <w:szCs w:val="20"/>
      <w:lang w:eastAsia="en-US"/>
    </w:rPr>
  </w:style>
  <w:style w:type="character" w:customStyle="1" w:styleId="MerknadstekstTegn">
    <w:name w:val="Merknadstekst Tegn"/>
    <w:basedOn w:val="Standardskriftforavsnitt"/>
    <w:link w:val="Merknadstekst"/>
    <w:uiPriority w:val="99"/>
    <w:rsid w:val="003E024E"/>
    <w:rPr>
      <w:rFonts w:ascii="Times New Roman" w:eastAsia="Times New Roman" w:hAnsi="Times New Roman" w:cs="Times New Roman"/>
      <w:sz w:val="20"/>
      <w:szCs w:val="20"/>
      <w:lang w:eastAsia="en-US"/>
    </w:rPr>
  </w:style>
  <w:style w:type="paragraph" w:customStyle="1" w:styleId="b1fb1">
    <w:name w:val="b1 [f/b1/]"/>
    <w:uiPriority w:val="99"/>
    <w:rsid w:val="003E024E"/>
    <w:pPr>
      <w:tabs>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s>
      <w:autoSpaceDE w:val="0"/>
      <w:autoSpaceDN w:val="0"/>
      <w:adjustRightInd w:val="0"/>
      <w:spacing w:after="0" w:line="260" w:lineRule="atLeast"/>
      <w:ind w:firstLine="340"/>
      <w:jc w:val="both"/>
    </w:pPr>
    <w:rPr>
      <w:rFonts w:ascii="Minion" w:hAnsi="Minion" w:cs="Minion"/>
      <w:color w:val="000000"/>
      <w:w w:val="0"/>
      <w:sz w:val="20"/>
      <w:szCs w:val="20"/>
      <w:lang w:eastAsia="nb-NO" w:bidi="he-IL"/>
    </w:rPr>
  </w:style>
  <w:style w:type="paragraph" w:customStyle="1" w:styleId="b1f-fb1f-">
    <w:name w:val="b1f- [f/b1/f-]"/>
    <w:next w:val="b1fb1"/>
    <w:uiPriority w:val="99"/>
    <w:rsid w:val="003E024E"/>
    <w:pPr>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s>
      <w:autoSpaceDE w:val="0"/>
      <w:autoSpaceDN w:val="0"/>
      <w:adjustRightInd w:val="0"/>
      <w:spacing w:after="0" w:line="260" w:lineRule="atLeast"/>
      <w:jc w:val="both"/>
    </w:pPr>
    <w:rPr>
      <w:rFonts w:ascii="Minion" w:hAnsi="Minion" w:cs="Minion"/>
      <w:color w:val="000000"/>
      <w:w w:val="0"/>
      <w:sz w:val="20"/>
      <w:szCs w:val="20"/>
      <w:lang w:eastAsia="nb-NO" w:bidi="he-IL"/>
    </w:rPr>
  </w:style>
  <w:style w:type="paragraph" w:customStyle="1" w:styleId="a1tfa1t">
    <w:name w:val="a1t [f/a1/t]"/>
    <w:uiPriority w:val="99"/>
    <w:rsid w:val="003E024E"/>
    <w:pPr>
      <w:tabs>
        <w:tab w:val="left" w:pos="440"/>
        <w:tab w:val="left" w:pos="840"/>
        <w:tab w:val="left" w:pos="7180"/>
        <w:tab w:val="left" w:pos="7900"/>
        <w:tab w:val="left" w:pos="8620"/>
      </w:tabs>
      <w:suppressAutoHyphens/>
      <w:autoSpaceDE w:val="0"/>
      <w:autoSpaceDN w:val="0"/>
      <w:adjustRightInd w:val="0"/>
      <w:spacing w:after="0" w:line="200" w:lineRule="atLeast"/>
    </w:pPr>
    <w:rPr>
      <w:rFonts w:ascii="RotisSemiSans ExtraBold" w:hAnsi="RotisSemiSans ExtraBold" w:cs="RotisSemiSans ExtraBold"/>
      <w:caps/>
      <w:w w:val="0"/>
      <w:sz w:val="20"/>
      <w:szCs w:val="20"/>
      <w:lang w:eastAsia="nb-NO" w:bidi="he-IL"/>
    </w:rPr>
  </w:style>
  <w:style w:type="paragraph" w:styleId="Bobletekst">
    <w:name w:val="Balloon Text"/>
    <w:basedOn w:val="Normal"/>
    <w:link w:val="BobletekstTegn"/>
    <w:uiPriority w:val="99"/>
    <w:semiHidden/>
    <w:unhideWhenUsed/>
    <w:rsid w:val="00B1054A"/>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B1054A"/>
    <w:rPr>
      <w:rFonts w:ascii="Segoe UI" w:hAnsi="Segoe UI" w:cs="Segoe UI"/>
      <w:sz w:val="18"/>
      <w:szCs w:val="18"/>
    </w:rPr>
  </w:style>
  <w:style w:type="paragraph" w:styleId="Brdtekst">
    <w:name w:val="Body Text"/>
    <w:basedOn w:val="Normal"/>
    <w:link w:val="BrdtekstTegn"/>
    <w:rsid w:val="00B1054A"/>
    <w:pPr>
      <w:tabs>
        <w:tab w:val="left" w:pos="453"/>
        <w:tab w:val="left" w:pos="680"/>
        <w:tab w:val="left" w:pos="7200"/>
        <w:tab w:val="left" w:pos="7920"/>
        <w:tab w:val="left" w:pos="8640"/>
      </w:tabs>
      <w:spacing w:after="0" w:line="260" w:lineRule="exact"/>
      <w:jc w:val="both"/>
    </w:pPr>
    <w:rPr>
      <w:rFonts w:ascii="Times New Roman" w:eastAsia="Times" w:hAnsi="Times New Roman" w:cs="Times New Roman"/>
      <w:szCs w:val="20"/>
      <w:lang w:eastAsia="nb-NO"/>
    </w:rPr>
  </w:style>
  <w:style w:type="character" w:customStyle="1" w:styleId="BrdtekstTegn">
    <w:name w:val="Brødtekst Tegn"/>
    <w:basedOn w:val="Standardskriftforavsnitt"/>
    <w:link w:val="Brdtekst"/>
    <w:rsid w:val="00B1054A"/>
    <w:rPr>
      <w:rFonts w:ascii="Times New Roman" w:eastAsia="Times" w:hAnsi="Times New Roman" w:cs="Times New Roman"/>
      <w:szCs w:val="20"/>
      <w:lang w:eastAsia="nb-NO"/>
    </w:rPr>
  </w:style>
  <w:style w:type="paragraph" w:customStyle="1" w:styleId="m2mm2">
    <w:name w:val="m2 [m/m/2]"/>
    <w:uiPriority w:val="99"/>
    <w:rsid w:val="00B1054A"/>
    <w:pPr>
      <w:keepNext/>
      <w:widowControl w:val="0"/>
      <w:tabs>
        <w:tab w:val="right" w:pos="567"/>
        <w:tab w:val="left" w:pos="794"/>
      </w:tabs>
      <w:autoSpaceDE w:val="0"/>
      <w:autoSpaceDN w:val="0"/>
      <w:adjustRightInd w:val="0"/>
      <w:spacing w:before="760" w:after="0" w:line="380" w:lineRule="atLeast"/>
      <w:ind w:left="794" w:hanging="794"/>
    </w:pPr>
    <w:rPr>
      <w:rFonts w:ascii="Kievit-Medium" w:eastAsia="Times New Roman" w:hAnsi="Kievit-Medium" w:cs="Kievit-Medium"/>
      <w:color w:val="01FFFF"/>
      <w:sz w:val="32"/>
      <w:szCs w:val="32"/>
      <w:lang w:val="pl-PL" w:eastAsia="pl-PL"/>
    </w:rPr>
  </w:style>
  <w:style w:type="paragraph" w:styleId="Kommentaremne">
    <w:name w:val="annotation subject"/>
    <w:basedOn w:val="Merknadstekst"/>
    <w:next w:val="Merknadstekst"/>
    <w:link w:val="KommentaremneTegn"/>
    <w:uiPriority w:val="99"/>
    <w:semiHidden/>
    <w:unhideWhenUsed/>
    <w:rsid w:val="008F4FA4"/>
    <w:pPr>
      <w:numPr>
        <w:numId w:val="0"/>
      </w:numPr>
      <w:spacing w:before="0" w:after="160"/>
    </w:pPr>
    <w:rPr>
      <w:rFonts w:asciiTheme="minorHAnsi" w:eastAsiaTheme="minorEastAsia" w:hAnsiTheme="minorHAnsi" w:cstheme="minorBidi"/>
      <w:b/>
      <w:bCs/>
      <w:lang w:eastAsia="zh-CN"/>
    </w:rPr>
  </w:style>
  <w:style w:type="character" w:customStyle="1" w:styleId="KommentaremneTegn">
    <w:name w:val="Kommentaremne Tegn"/>
    <w:basedOn w:val="MerknadstekstTegn"/>
    <w:link w:val="Kommentaremne"/>
    <w:uiPriority w:val="99"/>
    <w:semiHidden/>
    <w:rsid w:val="008F4FA4"/>
    <w:rPr>
      <w:rFonts w:ascii="Times New Roman" w:eastAsia="Times New Roman" w:hAnsi="Times New Roman" w:cs="Times New Roman"/>
      <w:b/>
      <w:bCs/>
      <w:sz w:val="20"/>
      <w:szCs w:val="20"/>
      <w:lang w:eastAsia="en-US"/>
    </w:rPr>
  </w:style>
  <w:style w:type="paragraph" w:customStyle="1" w:styleId="a1fa1">
    <w:name w:val="a1 [f/a1/]"/>
    <w:uiPriority w:val="99"/>
    <w:rsid w:val="004F28F7"/>
    <w:pPr>
      <w:widowControl w:val="0"/>
      <w:autoSpaceDE w:val="0"/>
      <w:autoSpaceDN w:val="0"/>
      <w:adjustRightInd w:val="0"/>
      <w:spacing w:after="0" w:line="280" w:lineRule="exact"/>
      <w:ind w:firstLine="283"/>
      <w:jc w:val="both"/>
    </w:pPr>
    <w:rPr>
      <w:rFonts w:ascii="RotisSerif" w:eastAsia="Times New Roman" w:hAnsi="RotisSerif" w:cs="RotisSerif"/>
      <w:sz w:val="21"/>
      <w:szCs w:val="21"/>
      <w:lang w:val="pl-PL" w:eastAsia="pl-PL"/>
    </w:rPr>
  </w:style>
  <w:style w:type="paragraph" w:customStyle="1" w:styleId="a1ffa1f">
    <w:name w:val="a1f [f/a1/f]"/>
    <w:uiPriority w:val="99"/>
    <w:rsid w:val="004F28F7"/>
    <w:pPr>
      <w:widowControl w:val="0"/>
      <w:autoSpaceDE w:val="0"/>
      <w:autoSpaceDN w:val="0"/>
      <w:adjustRightInd w:val="0"/>
      <w:spacing w:before="280" w:after="0" w:line="280" w:lineRule="exact"/>
      <w:jc w:val="both"/>
    </w:pPr>
    <w:rPr>
      <w:rFonts w:ascii="RotisSerif" w:eastAsia="Times New Roman" w:hAnsi="RotisSerif" w:cs="RotisSerif"/>
      <w:sz w:val="21"/>
      <w:szCs w:val="21"/>
      <w:lang w:val="pl-PL" w:eastAsia="pl-PL"/>
    </w:rPr>
  </w:style>
  <w:style w:type="paragraph" w:customStyle="1" w:styleId="a1f-fa1f-">
    <w:name w:val="a1f- [f/a1/f-]"/>
    <w:uiPriority w:val="99"/>
    <w:rsid w:val="004F28F7"/>
    <w:pPr>
      <w:widowControl w:val="0"/>
      <w:autoSpaceDE w:val="0"/>
      <w:autoSpaceDN w:val="0"/>
      <w:adjustRightInd w:val="0"/>
      <w:spacing w:after="0" w:line="280" w:lineRule="exact"/>
      <w:jc w:val="both"/>
    </w:pPr>
    <w:rPr>
      <w:rFonts w:ascii="RotisSerif" w:eastAsia="Times New Roman" w:hAnsi="RotisSerif" w:cs="RotisSerif"/>
      <w:sz w:val="21"/>
      <w:szCs w:val="21"/>
      <w:lang w:val="pl-PL" w:eastAsia="pl-PL"/>
    </w:rPr>
  </w:style>
  <w:style w:type="paragraph" w:customStyle="1" w:styleId="formelunr">
    <w:name w:val="formel u nr"/>
    <w:uiPriority w:val="99"/>
    <w:rsid w:val="004F28F7"/>
    <w:pPr>
      <w:widowControl w:val="0"/>
      <w:tabs>
        <w:tab w:val="left" w:pos="283"/>
      </w:tabs>
      <w:autoSpaceDE w:val="0"/>
      <w:autoSpaceDN w:val="0"/>
      <w:adjustRightInd w:val="0"/>
      <w:spacing w:before="160" w:after="280" w:line="280" w:lineRule="atLeast"/>
      <w:ind w:left="567"/>
    </w:pPr>
    <w:rPr>
      <w:rFonts w:ascii="RotisSerif" w:eastAsia="Times New Roman" w:hAnsi="RotisSerif" w:cs="RotisSerif"/>
      <w:sz w:val="21"/>
      <w:szCs w:val="21"/>
      <w:lang w:val="pl-PL" w:eastAsia="pl-PL"/>
    </w:rPr>
  </w:style>
  <w:style w:type="table" w:styleId="Tabellrutenett">
    <w:name w:val="Table Grid"/>
    <w:basedOn w:val="Vanligtabell"/>
    <w:uiPriority w:val="39"/>
    <w:rsid w:val="00CB5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B18"/>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692B18"/>
    <w:pPr>
      <w:ind w:left="720"/>
      <w:contextualSpacing/>
    </w:pPr>
  </w:style>
  <w:style w:type="character" w:styleId="Merknadsreferanse">
    <w:name w:val="annotation reference"/>
    <w:uiPriority w:val="99"/>
    <w:rsid w:val="003E024E"/>
    <w:rPr>
      <w:sz w:val="16"/>
      <w:szCs w:val="16"/>
    </w:rPr>
  </w:style>
  <w:style w:type="paragraph" w:styleId="Merknadstekst">
    <w:name w:val="annotation text"/>
    <w:basedOn w:val="Normal"/>
    <w:link w:val="MerknadstekstTegn"/>
    <w:uiPriority w:val="99"/>
    <w:rsid w:val="003E024E"/>
    <w:pPr>
      <w:numPr>
        <w:numId w:val="1"/>
      </w:numPr>
      <w:spacing w:before="120" w:after="120" w:line="240" w:lineRule="auto"/>
    </w:pPr>
    <w:rPr>
      <w:rFonts w:ascii="Times New Roman" w:eastAsia="Times New Roman" w:hAnsi="Times New Roman" w:cs="Times New Roman"/>
      <w:sz w:val="20"/>
      <w:szCs w:val="20"/>
      <w:lang w:eastAsia="en-US"/>
    </w:rPr>
  </w:style>
  <w:style w:type="character" w:customStyle="1" w:styleId="MerknadstekstTegn">
    <w:name w:val="Merknadstekst Tegn"/>
    <w:basedOn w:val="Standardskriftforavsnitt"/>
    <w:link w:val="Merknadstekst"/>
    <w:uiPriority w:val="99"/>
    <w:rsid w:val="003E024E"/>
    <w:rPr>
      <w:rFonts w:ascii="Times New Roman" w:eastAsia="Times New Roman" w:hAnsi="Times New Roman" w:cs="Times New Roman"/>
      <w:sz w:val="20"/>
      <w:szCs w:val="20"/>
      <w:lang w:eastAsia="en-US"/>
    </w:rPr>
  </w:style>
  <w:style w:type="paragraph" w:customStyle="1" w:styleId="b1fb1">
    <w:name w:val="b1 [f/b1/]"/>
    <w:uiPriority w:val="99"/>
    <w:rsid w:val="003E024E"/>
    <w:pPr>
      <w:tabs>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s>
      <w:autoSpaceDE w:val="0"/>
      <w:autoSpaceDN w:val="0"/>
      <w:adjustRightInd w:val="0"/>
      <w:spacing w:after="0" w:line="260" w:lineRule="atLeast"/>
      <w:ind w:firstLine="340"/>
      <w:jc w:val="both"/>
    </w:pPr>
    <w:rPr>
      <w:rFonts w:ascii="Minion" w:hAnsi="Minion" w:cs="Minion"/>
      <w:color w:val="000000"/>
      <w:w w:val="0"/>
      <w:sz w:val="20"/>
      <w:szCs w:val="20"/>
      <w:lang w:eastAsia="nb-NO" w:bidi="he-IL"/>
    </w:rPr>
  </w:style>
  <w:style w:type="paragraph" w:customStyle="1" w:styleId="b1f-fb1f-">
    <w:name w:val="b1f- [f/b1/f-]"/>
    <w:next w:val="b1fb1"/>
    <w:uiPriority w:val="99"/>
    <w:rsid w:val="003E024E"/>
    <w:pPr>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s>
      <w:autoSpaceDE w:val="0"/>
      <w:autoSpaceDN w:val="0"/>
      <w:adjustRightInd w:val="0"/>
      <w:spacing w:after="0" w:line="260" w:lineRule="atLeast"/>
      <w:jc w:val="both"/>
    </w:pPr>
    <w:rPr>
      <w:rFonts w:ascii="Minion" w:hAnsi="Minion" w:cs="Minion"/>
      <w:color w:val="000000"/>
      <w:w w:val="0"/>
      <w:sz w:val="20"/>
      <w:szCs w:val="20"/>
      <w:lang w:eastAsia="nb-NO" w:bidi="he-IL"/>
    </w:rPr>
  </w:style>
  <w:style w:type="paragraph" w:customStyle="1" w:styleId="a1tfa1t">
    <w:name w:val="a1t [f/a1/t]"/>
    <w:uiPriority w:val="99"/>
    <w:rsid w:val="003E024E"/>
    <w:pPr>
      <w:tabs>
        <w:tab w:val="left" w:pos="440"/>
        <w:tab w:val="left" w:pos="840"/>
        <w:tab w:val="left" w:pos="7180"/>
        <w:tab w:val="left" w:pos="7900"/>
        <w:tab w:val="left" w:pos="8620"/>
      </w:tabs>
      <w:suppressAutoHyphens/>
      <w:autoSpaceDE w:val="0"/>
      <w:autoSpaceDN w:val="0"/>
      <w:adjustRightInd w:val="0"/>
      <w:spacing w:after="0" w:line="200" w:lineRule="atLeast"/>
    </w:pPr>
    <w:rPr>
      <w:rFonts w:ascii="RotisSemiSans ExtraBold" w:hAnsi="RotisSemiSans ExtraBold" w:cs="RotisSemiSans ExtraBold"/>
      <w:caps/>
      <w:w w:val="0"/>
      <w:sz w:val="20"/>
      <w:szCs w:val="20"/>
      <w:lang w:eastAsia="nb-NO" w:bidi="he-IL"/>
    </w:rPr>
  </w:style>
  <w:style w:type="paragraph" w:styleId="Bobletekst">
    <w:name w:val="Balloon Text"/>
    <w:basedOn w:val="Normal"/>
    <w:link w:val="BobletekstTegn"/>
    <w:uiPriority w:val="99"/>
    <w:semiHidden/>
    <w:unhideWhenUsed/>
    <w:rsid w:val="00B1054A"/>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B1054A"/>
    <w:rPr>
      <w:rFonts w:ascii="Segoe UI" w:hAnsi="Segoe UI" w:cs="Segoe UI"/>
      <w:sz w:val="18"/>
      <w:szCs w:val="18"/>
    </w:rPr>
  </w:style>
  <w:style w:type="paragraph" w:styleId="Brdtekst">
    <w:name w:val="Body Text"/>
    <w:basedOn w:val="Normal"/>
    <w:link w:val="BrdtekstTegn"/>
    <w:rsid w:val="00B1054A"/>
    <w:pPr>
      <w:tabs>
        <w:tab w:val="left" w:pos="453"/>
        <w:tab w:val="left" w:pos="680"/>
        <w:tab w:val="left" w:pos="7200"/>
        <w:tab w:val="left" w:pos="7920"/>
        <w:tab w:val="left" w:pos="8640"/>
      </w:tabs>
      <w:spacing w:after="0" w:line="260" w:lineRule="exact"/>
      <w:jc w:val="both"/>
    </w:pPr>
    <w:rPr>
      <w:rFonts w:ascii="Times New Roman" w:eastAsia="Times" w:hAnsi="Times New Roman" w:cs="Times New Roman"/>
      <w:szCs w:val="20"/>
      <w:lang w:eastAsia="nb-NO"/>
    </w:rPr>
  </w:style>
  <w:style w:type="character" w:customStyle="1" w:styleId="BrdtekstTegn">
    <w:name w:val="Brødtekst Tegn"/>
    <w:basedOn w:val="Standardskriftforavsnitt"/>
    <w:link w:val="Brdtekst"/>
    <w:rsid w:val="00B1054A"/>
    <w:rPr>
      <w:rFonts w:ascii="Times New Roman" w:eastAsia="Times" w:hAnsi="Times New Roman" w:cs="Times New Roman"/>
      <w:szCs w:val="20"/>
      <w:lang w:eastAsia="nb-NO"/>
    </w:rPr>
  </w:style>
  <w:style w:type="paragraph" w:customStyle="1" w:styleId="m2mm2">
    <w:name w:val="m2 [m/m/2]"/>
    <w:uiPriority w:val="99"/>
    <w:rsid w:val="00B1054A"/>
    <w:pPr>
      <w:keepNext/>
      <w:widowControl w:val="0"/>
      <w:tabs>
        <w:tab w:val="right" w:pos="567"/>
        <w:tab w:val="left" w:pos="794"/>
      </w:tabs>
      <w:autoSpaceDE w:val="0"/>
      <w:autoSpaceDN w:val="0"/>
      <w:adjustRightInd w:val="0"/>
      <w:spacing w:before="760" w:after="0" w:line="380" w:lineRule="atLeast"/>
      <w:ind w:left="794" w:hanging="794"/>
    </w:pPr>
    <w:rPr>
      <w:rFonts w:ascii="Kievit-Medium" w:eastAsia="Times New Roman" w:hAnsi="Kievit-Medium" w:cs="Kievit-Medium"/>
      <w:color w:val="01FFFF"/>
      <w:sz w:val="32"/>
      <w:szCs w:val="32"/>
      <w:lang w:val="pl-PL" w:eastAsia="pl-PL"/>
    </w:rPr>
  </w:style>
  <w:style w:type="paragraph" w:styleId="Kommentaremne">
    <w:name w:val="annotation subject"/>
    <w:basedOn w:val="Merknadstekst"/>
    <w:next w:val="Merknadstekst"/>
    <w:link w:val="KommentaremneTegn"/>
    <w:uiPriority w:val="99"/>
    <w:semiHidden/>
    <w:unhideWhenUsed/>
    <w:rsid w:val="008F4FA4"/>
    <w:pPr>
      <w:numPr>
        <w:numId w:val="0"/>
      </w:numPr>
      <w:spacing w:before="0" w:after="160"/>
    </w:pPr>
    <w:rPr>
      <w:rFonts w:asciiTheme="minorHAnsi" w:eastAsiaTheme="minorEastAsia" w:hAnsiTheme="minorHAnsi" w:cstheme="minorBidi"/>
      <w:b/>
      <w:bCs/>
      <w:lang w:eastAsia="zh-CN"/>
    </w:rPr>
  </w:style>
  <w:style w:type="character" w:customStyle="1" w:styleId="KommentaremneTegn">
    <w:name w:val="Kommentaremne Tegn"/>
    <w:basedOn w:val="MerknadstekstTegn"/>
    <w:link w:val="Kommentaremne"/>
    <w:uiPriority w:val="99"/>
    <w:semiHidden/>
    <w:rsid w:val="008F4FA4"/>
    <w:rPr>
      <w:rFonts w:ascii="Times New Roman" w:eastAsia="Times New Roman" w:hAnsi="Times New Roman" w:cs="Times New Roman"/>
      <w:b/>
      <w:bCs/>
      <w:sz w:val="20"/>
      <w:szCs w:val="20"/>
      <w:lang w:eastAsia="en-US"/>
    </w:rPr>
  </w:style>
  <w:style w:type="paragraph" w:customStyle="1" w:styleId="a1fa1">
    <w:name w:val="a1 [f/a1/]"/>
    <w:uiPriority w:val="99"/>
    <w:rsid w:val="004F28F7"/>
    <w:pPr>
      <w:widowControl w:val="0"/>
      <w:autoSpaceDE w:val="0"/>
      <w:autoSpaceDN w:val="0"/>
      <w:adjustRightInd w:val="0"/>
      <w:spacing w:after="0" w:line="280" w:lineRule="exact"/>
      <w:ind w:firstLine="283"/>
      <w:jc w:val="both"/>
    </w:pPr>
    <w:rPr>
      <w:rFonts w:ascii="RotisSerif" w:eastAsia="Times New Roman" w:hAnsi="RotisSerif" w:cs="RotisSerif"/>
      <w:sz w:val="21"/>
      <w:szCs w:val="21"/>
      <w:lang w:val="pl-PL" w:eastAsia="pl-PL"/>
    </w:rPr>
  </w:style>
  <w:style w:type="paragraph" w:customStyle="1" w:styleId="a1ffa1f">
    <w:name w:val="a1f [f/a1/f]"/>
    <w:uiPriority w:val="99"/>
    <w:rsid w:val="004F28F7"/>
    <w:pPr>
      <w:widowControl w:val="0"/>
      <w:autoSpaceDE w:val="0"/>
      <w:autoSpaceDN w:val="0"/>
      <w:adjustRightInd w:val="0"/>
      <w:spacing w:before="280" w:after="0" w:line="280" w:lineRule="exact"/>
      <w:jc w:val="both"/>
    </w:pPr>
    <w:rPr>
      <w:rFonts w:ascii="RotisSerif" w:eastAsia="Times New Roman" w:hAnsi="RotisSerif" w:cs="RotisSerif"/>
      <w:sz w:val="21"/>
      <w:szCs w:val="21"/>
      <w:lang w:val="pl-PL" w:eastAsia="pl-PL"/>
    </w:rPr>
  </w:style>
  <w:style w:type="paragraph" w:customStyle="1" w:styleId="a1f-fa1f-">
    <w:name w:val="a1f- [f/a1/f-]"/>
    <w:uiPriority w:val="99"/>
    <w:rsid w:val="004F28F7"/>
    <w:pPr>
      <w:widowControl w:val="0"/>
      <w:autoSpaceDE w:val="0"/>
      <w:autoSpaceDN w:val="0"/>
      <w:adjustRightInd w:val="0"/>
      <w:spacing w:after="0" w:line="280" w:lineRule="exact"/>
      <w:jc w:val="both"/>
    </w:pPr>
    <w:rPr>
      <w:rFonts w:ascii="RotisSerif" w:eastAsia="Times New Roman" w:hAnsi="RotisSerif" w:cs="RotisSerif"/>
      <w:sz w:val="21"/>
      <w:szCs w:val="21"/>
      <w:lang w:val="pl-PL" w:eastAsia="pl-PL"/>
    </w:rPr>
  </w:style>
  <w:style w:type="paragraph" w:customStyle="1" w:styleId="formelunr">
    <w:name w:val="formel u nr"/>
    <w:uiPriority w:val="99"/>
    <w:rsid w:val="004F28F7"/>
    <w:pPr>
      <w:widowControl w:val="0"/>
      <w:tabs>
        <w:tab w:val="left" w:pos="283"/>
      </w:tabs>
      <w:autoSpaceDE w:val="0"/>
      <w:autoSpaceDN w:val="0"/>
      <w:adjustRightInd w:val="0"/>
      <w:spacing w:before="160" w:after="280" w:line="280" w:lineRule="atLeast"/>
      <w:ind w:left="567"/>
    </w:pPr>
    <w:rPr>
      <w:rFonts w:ascii="RotisSerif" w:eastAsia="Times New Roman" w:hAnsi="RotisSerif" w:cs="RotisSerif"/>
      <w:sz w:val="21"/>
      <w:szCs w:val="21"/>
      <w:lang w:val="pl-PL" w:eastAsia="pl-PL"/>
    </w:rPr>
  </w:style>
  <w:style w:type="table" w:styleId="Tabellrutenett">
    <w:name w:val="Table Grid"/>
    <w:basedOn w:val="Vanligtabell"/>
    <w:uiPriority w:val="39"/>
    <w:rsid w:val="00CB5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image" Target="media/image4.wmf"/><Relationship Id="rId17" Type="http://schemas.microsoft.com/office/2011/relationships/commentsExtended" Target="commentsExtended.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728</Words>
  <Characters>3864</Characters>
  <Application>Microsoft Office Word</Application>
  <DocSecurity>0</DocSecurity>
  <Lines>32</Lines>
  <Paragraphs>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BI Norwegian Business School</Company>
  <LinksUpToDate>false</LinksUpToDate>
  <CharactersWithSpaces>4583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Bøhren, Øyvind</dc:creator>
  <cp:lastModifiedBy>Małgorzata Adamczewska</cp:lastModifiedBy>
  <cp:revision>6</cp:revision>
  <dcterms:created xsi:type="dcterms:W3CDTF">2015-11-23T13:23:00Z</dcterms:created>
  <dcterms:modified xsi:type="dcterms:W3CDTF">2015-11-23T14:08:00Z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