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6D" w:rsidRPr="00EB4402" w:rsidRDefault="00487330" w:rsidP="00D6306D">
      <w:pPr>
        <w:pStyle w:val="m2mm2"/>
        <w:widowControl/>
        <w:spacing w:before="560"/>
        <w:ind w:left="0" w:firstLine="0"/>
        <w:rPr>
          <w:lang w:val="nb-NO"/>
        </w:rPr>
      </w:pPr>
      <w:r>
        <w:rPr>
          <w:rFonts w:ascii="Times New Roman" w:hAnsi="Times New Roman" w:cs="Times New Roman"/>
          <w:b/>
          <w:lang w:eastAsia="nb-NO"/>
        </w:rPr>
        <w:t>Fra resultat til likviditet</w:t>
      </w:r>
    </w:p>
    <w:p w:rsidR="00D6306D" w:rsidRDefault="00487330" w:rsidP="00487330">
      <w:pPr>
        <w:pStyle w:val="a1ffa1f"/>
        <w:widowControl/>
        <w:spacing w:line="280" w:lineRule="atLeast"/>
        <w:contextualSpacing/>
        <w:rPr>
          <w:rFonts w:ascii="Times New Roman" w:hAnsi="Times New Roman" w:cs="Times New Roman"/>
          <w:sz w:val="22"/>
          <w:szCs w:val="22"/>
          <w:lang w:val="nb-NO"/>
        </w:rPr>
      </w:pPr>
      <w:r>
        <w:rPr>
          <w:rFonts w:ascii="Times New Roman" w:hAnsi="Times New Roman" w:cs="Times New Roman"/>
          <w:sz w:val="22"/>
          <w:szCs w:val="22"/>
          <w:lang w:val="nb-NO"/>
        </w:rPr>
        <w:t>I</w:t>
      </w:r>
      <w:r w:rsidRPr="00487330">
        <w:rPr>
          <w:rFonts w:ascii="Times New Roman" w:hAnsi="Times New Roman" w:cs="Times New Roman"/>
          <w:lang w:val="nb-NO" w:eastAsia="nb-NO"/>
        </w:rPr>
        <w:t xml:space="preserve"> praksis budsjetteres ofte fremtidig resultat etter skatt ut fra bedrifts resultatregnskap. Er resultatbudsjettet klart, er det </w:t>
      </w:r>
      <w:proofErr w:type="spellStart"/>
      <w:r w:rsidRPr="00487330">
        <w:rPr>
          <w:rFonts w:ascii="Times New Roman" w:hAnsi="Times New Roman" w:cs="Times New Roman"/>
          <w:lang w:val="nb-NO" w:eastAsia="nb-NO"/>
        </w:rPr>
        <w:t>regnemessig</w:t>
      </w:r>
      <w:proofErr w:type="spellEnd"/>
      <w:r w:rsidRPr="00487330">
        <w:rPr>
          <w:rFonts w:ascii="Times New Roman" w:hAnsi="Times New Roman" w:cs="Times New Roman"/>
          <w:lang w:val="nb-NO" w:eastAsia="nb-NO"/>
        </w:rPr>
        <w:t xml:space="preserve"> nokså enkelt å komme seg fra resultat til likviditet. Det er imidlertid mer krevende å forstå hva som ligger bak denne overgangen.</w:t>
      </w:r>
      <w:r>
        <w:rPr>
          <w:rFonts w:ascii="Times New Roman" w:hAnsi="Times New Roman" w:cs="Times New Roman"/>
          <w:lang w:val="nb-NO" w:eastAsia="nb-NO"/>
        </w:rPr>
        <w:t xml:space="preserve"> Vi skal nå gjennomgå dette</w:t>
      </w:r>
      <w:r w:rsidR="00D6306D" w:rsidRPr="00A419B7">
        <w:rPr>
          <w:rFonts w:ascii="Times New Roman" w:hAnsi="Times New Roman" w:cs="Times New Roman"/>
          <w:sz w:val="22"/>
          <w:szCs w:val="22"/>
          <w:lang w:val="nb-NO"/>
        </w:rPr>
        <w:t>.</w:t>
      </w:r>
    </w:p>
    <w:p w:rsidR="00487330" w:rsidRDefault="00487330" w:rsidP="00487330">
      <w:pPr>
        <w:pStyle w:val="a1ffa1f"/>
        <w:widowControl/>
        <w:spacing w:line="280" w:lineRule="atLeast"/>
        <w:contextualSpacing/>
        <w:rPr>
          <w:rFonts w:ascii="Times New Roman" w:hAnsi="Times New Roman" w:cs="Times New Roman"/>
          <w:sz w:val="22"/>
          <w:szCs w:val="22"/>
          <w:lang w:val="nb-NO"/>
        </w:rPr>
      </w:pPr>
    </w:p>
    <w:p w:rsidR="00487330" w:rsidRPr="00487330" w:rsidRDefault="00487330" w:rsidP="00487330">
      <w:pPr>
        <w:pStyle w:val="a1ffa1f"/>
        <w:widowControl/>
        <w:spacing w:line="280" w:lineRule="atLeast"/>
        <w:contextualSpacing/>
        <w:rPr>
          <w:rFonts w:ascii="Times New Roman" w:hAnsi="Times New Roman" w:cs="Times New Roman"/>
          <w:sz w:val="22"/>
          <w:szCs w:val="22"/>
          <w:lang w:val="nb-NO"/>
        </w:rPr>
      </w:pPr>
      <w:r w:rsidRPr="00487330">
        <w:rPr>
          <w:rFonts w:ascii="Times New Roman" w:hAnsi="Times New Roman" w:cs="Times New Roman"/>
          <w:lang w:val="nb-NO" w:eastAsia="nb-NO"/>
        </w:rPr>
        <w:t xml:space="preserve">I </w:t>
      </w:r>
      <w:hyperlink r:id="rId6" w:history="1">
        <w:r w:rsidRPr="00487330">
          <w:rPr>
            <w:rStyle w:val="Hyperkobling"/>
            <w:rFonts w:ascii="Times New Roman" w:hAnsi="Times New Roman" w:cs="Times New Roman"/>
            <w:lang w:val="nb-NO" w:eastAsia="nb-NO"/>
          </w:rPr>
          <w:t>regnearket</w:t>
        </w:r>
      </w:hyperlink>
      <w:r w:rsidRPr="00487330">
        <w:rPr>
          <w:rFonts w:ascii="Times New Roman" w:hAnsi="Times New Roman" w:cs="Times New Roman"/>
          <w:lang w:val="nb-NO" w:eastAsia="nb-NO"/>
        </w:rPr>
        <w:t xml:space="preserve"> til oppgave N2.3 viste vi resultatbudsjett og likviditetsbudsjett for det andre driftsåret ved siden av hverandre</w:t>
      </w:r>
    </w:p>
    <w:p w:rsidR="00487330" w:rsidRDefault="00487330" w:rsidP="00487330">
      <w:pPr>
        <w:pStyle w:val="a1ffa1f"/>
        <w:widowControl/>
        <w:spacing w:line="280" w:lineRule="atLeast"/>
        <w:contextualSpacing/>
        <w:rPr>
          <w:rFonts w:ascii="Times New Roman" w:hAnsi="Times New Roman" w:cs="Times New Roman"/>
          <w:sz w:val="22"/>
          <w:szCs w:val="22"/>
          <w:lang w:val="nb-NO"/>
        </w:rPr>
      </w:pPr>
    </w:p>
    <w:p w:rsidR="00487330" w:rsidRDefault="00487330" w:rsidP="00487330">
      <w:pPr>
        <w:pStyle w:val="a1ffa1f"/>
        <w:widowControl/>
        <w:spacing w:line="280" w:lineRule="atLeast"/>
        <w:contextualSpacing/>
        <w:rPr>
          <w:rFonts w:ascii="Times New Roman" w:hAnsi="Times New Roman" w:cs="Times New Roman"/>
          <w:lang w:val="nb-NO"/>
        </w:rPr>
      </w:pPr>
      <w:r>
        <w:rPr>
          <w:noProof/>
          <w:lang w:val="en-US"/>
        </w:rPr>
        <w:drawing>
          <wp:inline distT="0" distB="0" distL="0" distR="0" wp14:anchorId="33A3D207" wp14:editId="2EBD1A34">
            <wp:extent cx="5039995" cy="2513331"/>
            <wp:effectExtent l="0" t="0" r="8255"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39995" cy="2513331"/>
                    </a:xfrm>
                    <a:prstGeom prst="rect">
                      <a:avLst/>
                    </a:prstGeom>
                  </pic:spPr>
                </pic:pic>
              </a:graphicData>
            </a:graphic>
          </wp:inline>
        </w:drawing>
      </w:r>
    </w:p>
    <w:p w:rsidR="00D6306D" w:rsidRDefault="00D6306D" w:rsidP="00D6306D">
      <w:pPr>
        <w:pStyle w:val="b1f-fb1f-"/>
        <w:widowControl/>
        <w:spacing w:line="280" w:lineRule="atLeast"/>
        <w:rPr>
          <w:rFonts w:ascii="Times New Roman" w:hAnsi="Times New Roman" w:cs="Times New Roman"/>
          <w:lang w:val="nb-NO"/>
        </w:rPr>
      </w:pPr>
    </w:p>
    <w:p w:rsidR="00487330" w:rsidRPr="00487330" w:rsidRDefault="00487330" w:rsidP="00487330">
      <w:pPr>
        <w:rPr>
          <w:sz w:val="21"/>
          <w:szCs w:val="21"/>
        </w:rPr>
      </w:pPr>
      <w:r w:rsidRPr="00487330">
        <w:rPr>
          <w:sz w:val="21"/>
          <w:szCs w:val="21"/>
        </w:rPr>
        <w:t xml:space="preserve">Som du ser, kan forskjellen mellom kontantstrøm og resultat (–10 000 kroner) forklares ved forskjeller på tre punkter: </w:t>
      </w:r>
    </w:p>
    <w:p w:rsidR="00487330" w:rsidRPr="00487330" w:rsidRDefault="00487330" w:rsidP="00487330">
      <w:pPr>
        <w:rPr>
          <w:sz w:val="21"/>
          <w:szCs w:val="21"/>
        </w:rPr>
      </w:pPr>
    </w:p>
    <w:tbl>
      <w:tblPr>
        <w:tblStyle w:val="Tabellrutenett"/>
        <w:tblW w:w="0" w:type="auto"/>
        <w:tblLook w:val="04A0" w:firstRow="1" w:lastRow="0" w:firstColumn="1" w:lastColumn="0" w:noHBand="0" w:noVBand="1"/>
      </w:tblPr>
      <w:tblGrid>
        <w:gridCol w:w="2235"/>
        <w:gridCol w:w="1275"/>
        <w:gridCol w:w="1276"/>
      </w:tblGrid>
      <w:tr w:rsidR="00487330" w:rsidRPr="00487330" w:rsidTr="00EC01F1">
        <w:tc>
          <w:tcPr>
            <w:tcW w:w="2235" w:type="dxa"/>
          </w:tcPr>
          <w:p w:rsidR="00487330" w:rsidRPr="00487330" w:rsidRDefault="00487330" w:rsidP="00EC01F1">
            <w:pPr>
              <w:jc w:val="right"/>
              <w:rPr>
                <w:sz w:val="21"/>
                <w:szCs w:val="21"/>
              </w:rPr>
            </w:pPr>
          </w:p>
        </w:tc>
        <w:tc>
          <w:tcPr>
            <w:tcW w:w="1275" w:type="dxa"/>
          </w:tcPr>
          <w:p w:rsidR="00487330" w:rsidRPr="00487330" w:rsidRDefault="00487330" w:rsidP="00EC01F1">
            <w:pPr>
              <w:jc w:val="right"/>
              <w:rPr>
                <w:sz w:val="21"/>
                <w:szCs w:val="21"/>
              </w:rPr>
            </w:pPr>
            <w:r w:rsidRPr="00487330">
              <w:rPr>
                <w:sz w:val="21"/>
                <w:szCs w:val="21"/>
              </w:rPr>
              <w:t>Likviditets-</w:t>
            </w:r>
          </w:p>
          <w:p w:rsidR="00487330" w:rsidRPr="00487330" w:rsidRDefault="00487330" w:rsidP="00EC01F1">
            <w:pPr>
              <w:jc w:val="right"/>
              <w:rPr>
                <w:sz w:val="21"/>
                <w:szCs w:val="21"/>
              </w:rPr>
            </w:pPr>
            <w:r w:rsidRPr="00487330">
              <w:rPr>
                <w:sz w:val="21"/>
                <w:szCs w:val="21"/>
              </w:rPr>
              <w:t>budsjett</w:t>
            </w:r>
          </w:p>
        </w:tc>
        <w:tc>
          <w:tcPr>
            <w:tcW w:w="1276" w:type="dxa"/>
          </w:tcPr>
          <w:p w:rsidR="00487330" w:rsidRPr="00487330" w:rsidRDefault="00487330" w:rsidP="00EC01F1">
            <w:pPr>
              <w:jc w:val="right"/>
              <w:rPr>
                <w:sz w:val="21"/>
                <w:szCs w:val="21"/>
              </w:rPr>
            </w:pPr>
            <w:r w:rsidRPr="00487330">
              <w:rPr>
                <w:sz w:val="21"/>
                <w:szCs w:val="21"/>
              </w:rPr>
              <w:t>Resultat-</w:t>
            </w:r>
          </w:p>
          <w:p w:rsidR="00487330" w:rsidRPr="00487330" w:rsidRDefault="00487330" w:rsidP="00EC01F1">
            <w:pPr>
              <w:jc w:val="right"/>
              <w:rPr>
                <w:sz w:val="21"/>
                <w:szCs w:val="21"/>
              </w:rPr>
            </w:pPr>
            <w:r w:rsidRPr="00487330">
              <w:rPr>
                <w:sz w:val="21"/>
                <w:szCs w:val="21"/>
              </w:rPr>
              <w:t>budsjett</w:t>
            </w:r>
          </w:p>
        </w:tc>
      </w:tr>
      <w:tr w:rsidR="00487330" w:rsidRPr="00487330" w:rsidTr="00EC01F1">
        <w:tc>
          <w:tcPr>
            <w:tcW w:w="2235" w:type="dxa"/>
          </w:tcPr>
          <w:p w:rsidR="00487330" w:rsidRPr="00487330" w:rsidRDefault="00487330" w:rsidP="00EC01F1">
            <w:pPr>
              <w:rPr>
                <w:sz w:val="21"/>
                <w:szCs w:val="21"/>
              </w:rPr>
            </w:pPr>
            <w:r w:rsidRPr="00487330">
              <w:rPr>
                <w:sz w:val="21"/>
                <w:szCs w:val="21"/>
              </w:rPr>
              <w:t>Avskrivninger</w:t>
            </w:r>
          </w:p>
        </w:tc>
        <w:tc>
          <w:tcPr>
            <w:tcW w:w="1275" w:type="dxa"/>
          </w:tcPr>
          <w:p w:rsidR="00487330" w:rsidRPr="00487330" w:rsidRDefault="00487330" w:rsidP="00EC01F1">
            <w:pPr>
              <w:jc w:val="right"/>
              <w:rPr>
                <w:sz w:val="21"/>
                <w:szCs w:val="21"/>
              </w:rPr>
            </w:pPr>
            <w:r w:rsidRPr="00487330">
              <w:rPr>
                <w:sz w:val="21"/>
                <w:szCs w:val="21"/>
              </w:rPr>
              <w:t>0</w:t>
            </w:r>
          </w:p>
        </w:tc>
        <w:tc>
          <w:tcPr>
            <w:tcW w:w="1276" w:type="dxa"/>
          </w:tcPr>
          <w:p w:rsidR="00487330" w:rsidRPr="00487330" w:rsidRDefault="00487330" w:rsidP="00EC01F1">
            <w:pPr>
              <w:jc w:val="right"/>
              <w:rPr>
                <w:sz w:val="21"/>
                <w:szCs w:val="21"/>
              </w:rPr>
            </w:pPr>
            <w:r w:rsidRPr="00487330">
              <w:rPr>
                <w:sz w:val="21"/>
                <w:szCs w:val="21"/>
              </w:rPr>
              <w:t>–160 000</w:t>
            </w:r>
          </w:p>
        </w:tc>
      </w:tr>
      <w:tr w:rsidR="00487330" w:rsidRPr="00487330" w:rsidTr="00EC01F1">
        <w:tc>
          <w:tcPr>
            <w:tcW w:w="2235" w:type="dxa"/>
          </w:tcPr>
          <w:p w:rsidR="00487330" w:rsidRPr="00487330" w:rsidRDefault="00487330" w:rsidP="00EC01F1">
            <w:pPr>
              <w:rPr>
                <w:sz w:val="21"/>
                <w:szCs w:val="21"/>
              </w:rPr>
            </w:pPr>
            <w:r w:rsidRPr="00487330">
              <w:rPr>
                <w:sz w:val="21"/>
                <w:szCs w:val="21"/>
              </w:rPr>
              <w:t>Lånebeløp/avdrag</w:t>
            </w:r>
          </w:p>
        </w:tc>
        <w:tc>
          <w:tcPr>
            <w:tcW w:w="1275" w:type="dxa"/>
          </w:tcPr>
          <w:p w:rsidR="00487330" w:rsidRPr="00487330" w:rsidRDefault="00487330" w:rsidP="00EC01F1">
            <w:pPr>
              <w:jc w:val="right"/>
              <w:rPr>
                <w:sz w:val="21"/>
                <w:szCs w:val="21"/>
              </w:rPr>
            </w:pPr>
            <w:r w:rsidRPr="00487330">
              <w:rPr>
                <w:sz w:val="21"/>
                <w:szCs w:val="21"/>
              </w:rPr>
              <w:t>–140 000</w:t>
            </w:r>
          </w:p>
        </w:tc>
        <w:tc>
          <w:tcPr>
            <w:tcW w:w="1276" w:type="dxa"/>
          </w:tcPr>
          <w:p w:rsidR="00487330" w:rsidRPr="00487330" w:rsidRDefault="00487330" w:rsidP="00EC01F1">
            <w:pPr>
              <w:jc w:val="right"/>
              <w:rPr>
                <w:sz w:val="21"/>
                <w:szCs w:val="21"/>
              </w:rPr>
            </w:pPr>
            <w:r w:rsidRPr="00487330">
              <w:rPr>
                <w:sz w:val="21"/>
                <w:szCs w:val="21"/>
              </w:rPr>
              <w:t>0</w:t>
            </w:r>
          </w:p>
        </w:tc>
      </w:tr>
      <w:tr w:rsidR="00487330" w:rsidRPr="00487330" w:rsidTr="00EC01F1">
        <w:tc>
          <w:tcPr>
            <w:tcW w:w="2235" w:type="dxa"/>
          </w:tcPr>
          <w:p w:rsidR="00487330" w:rsidRPr="00487330" w:rsidRDefault="00487330" w:rsidP="00EC01F1">
            <w:pPr>
              <w:rPr>
                <w:sz w:val="21"/>
                <w:szCs w:val="21"/>
              </w:rPr>
            </w:pPr>
            <w:r w:rsidRPr="00487330">
              <w:rPr>
                <w:sz w:val="21"/>
                <w:szCs w:val="21"/>
              </w:rPr>
              <w:t>Endring arbeidskapital</w:t>
            </w:r>
          </w:p>
        </w:tc>
        <w:tc>
          <w:tcPr>
            <w:tcW w:w="1275" w:type="dxa"/>
          </w:tcPr>
          <w:p w:rsidR="00487330" w:rsidRPr="00487330" w:rsidRDefault="00487330" w:rsidP="00EC01F1">
            <w:pPr>
              <w:jc w:val="right"/>
              <w:rPr>
                <w:sz w:val="21"/>
                <w:szCs w:val="21"/>
              </w:rPr>
            </w:pPr>
            <w:r w:rsidRPr="00487330">
              <w:rPr>
                <w:sz w:val="21"/>
                <w:szCs w:val="21"/>
              </w:rPr>
              <w:t>–30 000</w:t>
            </w:r>
          </w:p>
        </w:tc>
        <w:tc>
          <w:tcPr>
            <w:tcW w:w="1276" w:type="dxa"/>
          </w:tcPr>
          <w:p w:rsidR="00487330" w:rsidRPr="00487330" w:rsidRDefault="00487330" w:rsidP="00EC01F1">
            <w:pPr>
              <w:jc w:val="right"/>
              <w:rPr>
                <w:sz w:val="21"/>
                <w:szCs w:val="21"/>
              </w:rPr>
            </w:pPr>
            <w:r w:rsidRPr="00487330">
              <w:rPr>
                <w:sz w:val="21"/>
                <w:szCs w:val="21"/>
              </w:rPr>
              <w:t>0</w:t>
            </w:r>
          </w:p>
        </w:tc>
      </w:tr>
      <w:tr w:rsidR="00487330" w:rsidRPr="00487330" w:rsidTr="00EC01F1">
        <w:tc>
          <w:tcPr>
            <w:tcW w:w="2235" w:type="dxa"/>
          </w:tcPr>
          <w:p w:rsidR="00487330" w:rsidRPr="00487330" w:rsidRDefault="00487330" w:rsidP="00EC01F1">
            <w:pPr>
              <w:rPr>
                <w:sz w:val="21"/>
                <w:szCs w:val="21"/>
              </w:rPr>
            </w:pPr>
            <w:r w:rsidRPr="00487330">
              <w:rPr>
                <w:sz w:val="21"/>
                <w:szCs w:val="21"/>
              </w:rPr>
              <w:t>Sum</w:t>
            </w:r>
          </w:p>
        </w:tc>
        <w:tc>
          <w:tcPr>
            <w:tcW w:w="1275" w:type="dxa"/>
          </w:tcPr>
          <w:p w:rsidR="00487330" w:rsidRPr="00487330" w:rsidRDefault="00487330" w:rsidP="00EC01F1">
            <w:pPr>
              <w:jc w:val="right"/>
              <w:rPr>
                <w:sz w:val="21"/>
                <w:szCs w:val="21"/>
              </w:rPr>
            </w:pPr>
            <w:r w:rsidRPr="00487330">
              <w:rPr>
                <w:sz w:val="21"/>
                <w:szCs w:val="21"/>
              </w:rPr>
              <w:t>–170000</w:t>
            </w:r>
          </w:p>
        </w:tc>
        <w:tc>
          <w:tcPr>
            <w:tcW w:w="1276" w:type="dxa"/>
          </w:tcPr>
          <w:p w:rsidR="00487330" w:rsidRPr="00487330" w:rsidRDefault="00487330" w:rsidP="00EC01F1">
            <w:pPr>
              <w:jc w:val="right"/>
              <w:rPr>
                <w:sz w:val="21"/>
                <w:szCs w:val="21"/>
              </w:rPr>
            </w:pPr>
            <w:r w:rsidRPr="00487330">
              <w:rPr>
                <w:sz w:val="21"/>
                <w:szCs w:val="21"/>
              </w:rPr>
              <w:t>–160 000</w:t>
            </w:r>
          </w:p>
        </w:tc>
      </w:tr>
      <w:tr w:rsidR="00487330" w:rsidRPr="00487330" w:rsidTr="00EC01F1">
        <w:tc>
          <w:tcPr>
            <w:tcW w:w="2235" w:type="dxa"/>
          </w:tcPr>
          <w:p w:rsidR="00487330" w:rsidRPr="00487330" w:rsidRDefault="00487330" w:rsidP="00EC01F1">
            <w:pPr>
              <w:rPr>
                <w:sz w:val="21"/>
                <w:szCs w:val="21"/>
              </w:rPr>
            </w:pPr>
            <w:r w:rsidRPr="00487330">
              <w:rPr>
                <w:sz w:val="21"/>
                <w:szCs w:val="21"/>
              </w:rPr>
              <w:t xml:space="preserve">Differanse </w:t>
            </w:r>
          </w:p>
        </w:tc>
        <w:tc>
          <w:tcPr>
            <w:tcW w:w="2551" w:type="dxa"/>
            <w:gridSpan w:val="2"/>
          </w:tcPr>
          <w:p w:rsidR="00487330" w:rsidRPr="00487330" w:rsidRDefault="00487330" w:rsidP="00EC01F1">
            <w:pPr>
              <w:jc w:val="center"/>
              <w:rPr>
                <w:sz w:val="21"/>
                <w:szCs w:val="21"/>
              </w:rPr>
            </w:pPr>
            <w:r w:rsidRPr="00487330">
              <w:rPr>
                <w:sz w:val="21"/>
                <w:szCs w:val="21"/>
              </w:rPr>
              <w:t>–10 000</w:t>
            </w:r>
          </w:p>
        </w:tc>
      </w:tr>
    </w:tbl>
    <w:p w:rsidR="00487330" w:rsidRPr="00487330" w:rsidRDefault="00487330" w:rsidP="00487330">
      <w:pPr>
        <w:rPr>
          <w:sz w:val="21"/>
          <w:szCs w:val="21"/>
        </w:rPr>
      </w:pPr>
    </w:p>
    <w:p w:rsidR="00487330" w:rsidRPr="00487330" w:rsidRDefault="00487330" w:rsidP="00487330">
      <w:pPr>
        <w:rPr>
          <w:sz w:val="21"/>
          <w:szCs w:val="21"/>
        </w:rPr>
      </w:pPr>
    </w:p>
    <w:p w:rsidR="00D6306D" w:rsidRDefault="00487330" w:rsidP="00487330">
      <w:pPr>
        <w:pStyle w:val="b1f-fb1f-"/>
        <w:widowControl/>
        <w:spacing w:line="280" w:lineRule="atLeast"/>
        <w:rPr>
          <w:rFonts w:ascii="Times New Roman" w:hAnsi="Times New Roman" w:cs="Times New Roman"/>
          <w:lang w:val="nb-NO" w:eastAsia="nb-NO"/>
        </w:rPr>
      </w:pPr>
      <w:r w:rsidRPr="00487330">
        <w:rPr>
          <w:rFonts w:ascii="Times New Roman" w:hAnsi="Times New Roman" w:cs="Times New Roman"/>
          <w:lang w:val="nb-NO" w:eastAsia="nb-NO"/>
        </w:rPr>
        <w:t>Én ting er å finne frem til et svar; vanskeligere er det å skjønne hvorfor. Begynn med resultat etter skatt. Omregningen derfra til likviditet er tredelt:</w:t>
      </w:r>
    </w:p>
    <w:p w:rsidR="00487330" w:rsidRDefault="00487330" w:rsidP="00487330">
      <w:pPr>
        <w:pStyle w:val="b1f-fb1f-"/>
        <w:widowControl/>
        <w:spacing w:line="280" w:lineRule="atLeast"/>
        <w:rPr>
          <w:rFonts w:ascii="Times New Roman" w:hAnsi="Times New Roman" w:cs="Times New Roman"/>
          <w:lang w:val="nb-NO"/>
        </w:rPr>
      </w:pPr>
    </w:p>
    <w:p w:rsidR="00487330" w:rsidRDefault="00487330" w:rsidP="00487330">
      <w:pPr>
        <w:pStyle w:val="Listeavsnitt"/>
        <w:numPr>
          <w:ilvl w:val="0"/>
          <w:numId w:val="1"/>
        </w:numPr>
        <w:rPr>
          <w:rFonts w:ascii="Times New Roman" w:hAnsi="Times New Roman" w:cs="Times New Roman"/>
          <w:lang w:eastAsia="nb-NO"/>
        </w:rPr>
      </w:pPr>
      <w:r w:rsidRPr="001F0891">
        <w:rPr>
          <w:rFonts w:ascii="Times New Roman" w:hAnsi="Times New Roman" w:cs="Times New Roman"/>
          <w:lang w:eastAsia="nb-NO"/>
        </w:rPr>
        <w:t xml:space="preserve">For å komme </w:t>
      </w:r>
      <w:r>
        <w:rPr>
          <w:rFonts w:ascii="Times New Roman" w:hAnsi="Times New Roman" w:cs="Times New Roman"/>
          <w:lang w:eastAsia="nb-NO"/>
        </w:rPr>
        <w:t xml:space="preserve">frem til resultatet </w:t>
      </w:r>
      <w:r w:rsidRPr="001F0891">
        <w:rPr>
          <w:rFonts w:ascii="Times New Roman" w:hAnsi="Times New Roman" w:cs="Times New Roman"/>
          <w:lang w:eastAsia="nb-NO"/>
        </w:rPr>
        <w:t>har vi trukket fra 160 000 kroner i avskrivninger. Dette er en kostnad som skal væ</w:t>
      </w:r>
      <w:r>
        <w:rPr>
          <w:rFonts w:ascii="Times New Roman" w:hAnsi="Times New Roman" w:cs="Times New Roman"/>
          <w:lang w:eastAsia="nb-NO"/>
        </w:rPr>
        <w:t>re med i sammenstillingen av</w:t>
      </w:r>
      <w:r w:rsidRPr="001F0891">
        <w:rPr>
          <w:rFonts w:ascii="Times New Roman" w:hAnsi="Times New Roman" w:cs="Times New Roman"/>
          <w:lang w:eastAsia="nb-NO"/>
        </w:rPr>
        <w:t xml:space="preserve"> inntekter og kostnader. En avskrivning er imidlertid bare en nedskrivning av </w:t>
      </w:r>
      <w:r>
        <w:rPr>
          <w:rFonts w:ascii="Times New Roman" w:hAnsi="Times New Roman" w:cs="Times New Roman"/>
          <w:lang w:eastAsia="nb-NO"/>
        </w:rPr>
        <w:t xml:space="preserve">bokført verdi av en eiendel. Avskrivningen medfører imidlertid ikke noen </w:t>
      </w:r>
      <w:r w:rsidRPr="001F0891">
        <w:rPr>
          <w:rFonts w:ascii="Times New Roman" w:hAnsi="Times New Roman" w:cs="Times New Roman"/>
          <w:lang w:eastAsia="nb-NO"/>
        </w:rPr>
        <w:t>utbetali</w:t>
      </w:r>
      <w:r>
        <w:rPr>
          <w:rFonts w:ascii="Times New Roman" w:hAnsi="Times New Roman" w:cs="Times New Roman"/>
          <w:lang w:eastAsia="nb-NO"/>
        </w:rPr>
        <w:t>ng. Derfor må vi justere for at vi i</w:t>
      </w:r>
      <w:r w:rsidRPr="001F0891">
        <w:rPr>
          <w:rFonts w:ascii="Times New Roman" w:hAnsi="Times New Roman" w:cs="Times New Roman"/>
          <w:lang w:eastAsia="nb-NO"/>
        </w:rPr>
        <w:t xml:space="preserve"> resultatbudsjettet har trukket fra et beløp som ikke skal </w:t>
      </w:r>
      <w:r>
        <w:rPr>
          <w:rFonts w:ascii="Times New Roman" w:hAnsi="Times New Roman" w:cs="Times New Roman"/>
          <w:lang w:eastAsia="nb-NO"/>
        </w:rPr>
        <w:t xml:space="preserve">trekkes fra i likviditetsbudsjettet. Justeringen gjøres ved å legge </w:t>
      </w:r>
      <w:r w:rsidRPr="001F0891">
        <w:rPr>
          <w:rFonts w:ascii="Times New Roman" w:hAnsi="Times New Roman" w:cs="Times New Roman"/>
          <w:lang w:eastAsia="nb-NO"/>
        </w:rPr>
        <w:t>avskriv</w:t>
      </w:r>
      <w:r>
        <w:rPr>
          <w:rFonts w:ascii="Times New Roman" w:hAnsi="Times New Roman" w:cs="Times New Roman"/>
          <w:lang w:eastAsia="nb-NO"/>
        </w:rPr>
        <w:t>n</w:t>
      </w:r>
      <w:r w:rsidRPr="001F0891">
        <w:rPr>
          <w:rFonts w:ascii="Times New Roman" w:hAnsi="Times New Roman" w:cs="Times New Roman"/>
          <w:lang w:eastAsia="nb-NO"/>
        </w:rPr>
        <w:t>ing</w:t>
      </w:r>
      <w:r>
        <w:rPr>
          <w:rFonts w:ascii="Times New Roman" w:hAnsi="Times New Roman" w:cs="Times New Roman"/>
          <w:lang w:eastAsia="nb-NO"/>
        </w:rPr>
        <w:t>sbeløpet</w:t>
      </w:r>
      <w:r w:rsidRPr="001F0891">
        <w:rPr>
          <w:rFonts w:ascii="Times New Roman" w:hAnsi="Times New Roman" w:cs="Times New Roman"/>
          <w:lang w:eastAsia="nb-NO"/>
        </w:rPr>
        <w:t xml:space="preserve"> til resultatet. </w:t>
      </w:r>
      <w:r>
        <w:rPr>
          <w:rFonts w:ascii="Times New Roman" w:hAnsi="Times New Roman" w:cs="Times New Roman"/>
          <w:lang w:eastAsia="nb-NO"/>
        </w:rPr>
        <w:t>Avskrivning er en kostnad, men ingen utbetaling.</w:t>
      </w:r>
      <w:r>
        <w:rPr>
          <w:rFonts w:ascii="Times New Roman" w:hAnsi="Times New Roman" w:cs="Times New Roman"/>
          <w:lang w:eastAsia="nb-NO"/>
        </w:rPr>
        <w:br/>
      </w:r>
    </w:p>
    <w:p w:rsidR="00487330" w:rsidRDefault="00487330" w:rsidP="00487330">
      <w:pPr>
        <w:pStyle w:val="Listeavsnitt"/>
        <w:numPr>
          <w:ilvl w:val="0"/>
          <w:numId w:val="1"/>
        </w:numPr>
        <w:rPr>
          <w:rFonts w:ascii="Times New Roman" w:hAnsi="Times New Roman" w:cs="Times New Roman"/>
          <w:lang w:eastAsia="nb-NO"/>
        </w:rPr>
      </w:pPr>
      <w:r>
        <w:rPr>
          <w:rFonts w:ascii="Times New Roman" w:hAnsi="Times New Roman" w:cs="Times New Roman"/>
          <w:lang w:eastAsia="nb-NO"/>
        </w:rPr>
        <w:t>For avdrag på lån er det motsatt. Et avdrag innebærer at bedriften betaler penger fra sin innskuddskonto til kreditor. Dermed faller bankinnskuddet, mens gjelden reduseres tilsvarende. Transaksjonen har altså virkning på bedriftens balanse gjennom redusert likviditetsbeholdning, men ingen virkning i resultatregnskapet. Derfor må avdragene trekkes fra budsjettert resultatet. Avdrag er en utbetaling, men ingen kostnad</w:t>
      </w:r>
      <w:r>
        <w:rPr>
          <w:rFonts w:ascii="Times New Roman" w:hAnsi="Times New Roman" w:cs="Times New Roman"/>
          <w:lang w:eastAsia="nb-NO"/>
        </w:rPr>
        <w:br/>
      </w:r>
    </w:p>
    <w:p w:rsidR="00487330" w:rsidRPr="00487330" w:rsidRDefault="00487330" w:rsidP="00487330">
      <w:pPr>
        <w:pStyle w:val="Listeavsnitt"/>
        <w:numPr>
          <w:ilvl w:val="0"/>
          <w:numId w:val="1"/>
        </w:numPr>
        <w:spacing w:line="280" w:lineRule="atLeast"/>
        <w:rPr>
          <w:rFonts w:ascii="Times New Roman" w:hAnsi="Times New Roman" w:cs="Times New Roman"/>
        </w:rPr>
      </w:pPr>
      <w:r w:rsidRPr="00487330">
        <w:rPr>
          <w:rFonts w:ascii="Times New Roman" w:hAnsi="Times New Roman" w:cs="Times New Roman"/>
          <w:lang w:eastAsia="nb-NO"/>
        </w:rPr>
        <w:t>Effekten av endret arbeidskapital er som for avdrag. Dette skyldes at økt binding i arbeidskapital er ingen kostnad, men en utbetaling. Derfor må resultatet reduseres med den økte arbeidskapitalen. Hvis arbeidskapitalen reduseres, må økningen legges til resultatet.</w:t>
      </w:r>
      <w:bookmarkStart w:id="0" w:name="_GoBack"/>
      <w:bookmarkEnd w:id="0"/>
    </w:p>
    <w:sectPr w:rsidR="00487330" w:rsidRPr="00487330">
      <w:pgSz w:w="9638" w:h="13606"/>
      <w:pgMar w:top="1020" w:right="851" w:bottom="1417" w:left="850" w:header="708" w:footer="708" w:gutter="0"/>
      <w:pgNumType w:start="115"/>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tisSerif">
    <w:altName w:val="Times New Roman"/>
    <w:panose1 w:val="00000000000000000000"/>
    <w:charset w:val="00"/>
    <w:family w:val="roman"/>
    <w:notTrueType/>
    <w:pitch w:val="variable"/>
    <w:sig w:usb0="00000003" w:usb1="00000000" w:usb2="00000000" w:usb3="00000000" w:csb0="00000001" w:csb1="00000000"/>
  </w:font>
  <w:font w:name="RotisSemiSans ExtraBold">
    <w:altName w:val="Times New Roman"/>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RotisSemiSans">
    <w:altName w:val="Times New Roman"/>
    <w:panose1 w:val="00000000000000000000"/>
    <w:charset w:val="00"/>
    <w:family w:val="swiss"/>
    <w:notTrueType/>
    <w:pitch w:val="variable"/>
    <w:sig w:usb0="00000003" w:usb1="00000000" w:usb2="00000000" w:usb3="00000000" w:csb0="00000001" w:csb1="00000000"/>
  </w:font>
  <w:font w:name="RotisSansSerif">
    <w:altName w:val="Times New Roman"/>
    <w:panose1 w:val="00000000000000000000"/>
    <w:charset w:val="00"/>
    <w:family w:val="swiss"/>
    <w:notTrueType/>
    <w:pitch w:val="variable"/>
    <w:sig w:usb0="00000003" w:usb1="00000000" w:usb2="00000000" w:usb3="00000000" w:csb0="00000001" w:csb1="00000000"/>
  </w:font>
  <w:font w:name="Kievit-Medium">
    <w:altName w:val="Cambria"/>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1D1E"/>
    <w:multiLevelType w:val="hybridMultilevel"/>
    <w:tmpl w:val="78F4B3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94"/>
    <w:rsid w:val="00155394"/>
    <w:rsid w:val="00487330"/>
    <w:rsid w:val="006B7657"/>
    <w:rsid w:val="00D6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94"/>
    <w:pPr>
      <w:spacing w:after="0" w:line="240" w:lineRule="auto"/>
    </w:pPr>
    <w:rPr>
      <w:rFonts w:ascii="Times New Roman" w:eastAsia="Times New Roman" w:hAnsi="Times New Roman" w:cs="Times New Roman"/>
      <w:noProof/>
      <w:sz w:val="24"/>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1fa1">
    <w:name w:val="a1 [f/a1/]"/>
    <w:uiPriority w:val="99"/>
    <w:rsid w:val="00155394"/>
    <w:pPr>
      <w:widowControl w:val="0"/>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a1ffa1f">
    <w:name w:val="a1f [f/a1/f]"/>
    <w:uiPriority w:val="99"/>
    <w:rsid w:val="00155394"/>
    <w:pPr>
      <w:widowControl w:val="0"/>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a1tfa1t">
    <w:name w:val="a1t [f/a1/t]"/>
    <w:uiPriority w:val="99"/>
    <w:rsid w:val="00155394"/>
    <w:pPr>
      <w:widowControl w:val="0"/>
      <w:tabs>
        <w:tab w:val="left" w:pos="454"/>
        <w:tab w:val="left" w:pos="850"/>
        <w:tab w:val="left" w:pos="7200"/>
        <w:tab w:val="left" w:pos="7920"/>
        <w:tab w:val="left" w:pos="8640"/>
      </w:tabs>
      <w:autoSpaceDE w:val="0"/>
      <w:autoSpaceDN w:val="0"/>
      <w:adjustRightInd w:val="0"/>
      <w:spacing w:after="0" w:line="200" w:lineRule="atLeast"/>
    </w:pPr>
    <w:rPr>
      <w:rFonts w:ascii="RotisSemiSans ExtraBold" w:eastAsia="Times New Roman" w:hAnsi="RotisSemiSans ExtraBold" w:cs="RotisSemiSans ExtraBold"/>
      <w:caps/>
      <w:spacing w:val="10"/>
      <w:sz w:val="20"/>
      <w:szCs w:val="20"/>
      <w:lang w:val="pl-PL" w:eastAsia="pl-PL"/>
    </w:rPr>
  </w:style>
  <w:style w:type="paragraph" w:customStyle="1" w:styleId="formelunr">
    <w:name w:val="formel u nr"/>
    <w:uiPriority w:val="99"/>
    <w:rsid w:val="00155394"/>
    <w:pPr>
      <w:widowControl w:val="0"/>
      <w:tabs>
        <w:tab w:val="left" w:pos="283"/>
      </w:tabs>
      <w:autoSpaceDE w:val="0"/>
      <w:autoSpaceDN w:val="0"/>
      <w:adjustRightInd w:val="0"/>
      <w:spacing w:before="160" w:after="280" w:line="280" w:lineRule="atLeast"/>
      <w:ind w:left="567"/>
    </w:pPr>
    <w:rPr>
      <w:rFonts w:ascii="RotisSerif" w:eastAsia="Times New Roman" w:hAnsi="RotisSerif" w:cs="RotisSerif"/>
      <w:sz w:val="21"/>
      <w:szCs w:val="21"/>
      <w:lang w:val="pl-PL" w:eastAsia="pl-PL"/>
    </w:rPr>
  </w:style>
  <w:style w:type="table" w:styleId="Tabellrutenett">
    <w:name w:val="Table Grid"/>
    <w:basedOn w:val="Vanligtabell"/>
    <w:uiPriority w:val="59"/>
    <w:rsid w:val="00155394"/>
    <w:pPr>
      <w:spacing w:after="0" w:line="240" w:lineRule="auto"/>
    </w:pPr>
    <w:rPr>
      <w:rFonts w:ascii="Calibri" w:eastAsia="Times New Roman" w:hAnsi="Calibri" w:cs="Times New Roman"/>
      <w:sz w:val="20"/>
      <w:szCs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snittsoverskrift">
    <w:name w:val="Avsnittsoverskrift"/>
    <w:basedOn w:val="Normal"/>
    <w:rsid w:val="00155394"/>
    <w:pPr>
      <w:tabs>
        <w:tab w:val="left" w:pos="454"/>
        <w:tab w:val="left" w:pos="7200"/>
        <w:tab w:val="left" w:pos="7920"/>
        <w:tab w:val="left" w:pos="8640"/>
      </w:tabs>
      <w:spacing w:line="260" w:lineRule="exact"/>
      <w:jc w:val="both"/>
    </w:pPr>
    <w:rPr>
      <w:rFonts w:ascii="Arial Black" w:hAnsi="Arial Black"/>
      <w:caps/>
      <w:sz w:val="18"/>
    </w:rPr>
  </w:style>
  <w:style w:type="paragraph" w:customStyle="1" w:styleId="a1f-fa1f-">
    <w:name w:val="a1f- [f/a1/f-]"/>
    <w:uiPriority w:val="99"/>
    <w:rsid w:val="00D6306D"/>
    <w:pPr>
      <w:widowControl w:val="0"/>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b1fb1">
    <w:name w:val="b1 [f/b1/]"/>
    <w:uiPriority w:val="99"/>
    <w:rsid w:val="00D6306D"/>
    <w:pPr>
      <w:widowControl w:val="0"/>
      <w:tabs>
        <w:tab w:val="left" w:pos="198"/>
      </w:tabs>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b1ffb1f">
    <w:name w:val="b1f [f/b1/f]"/>
    <w:uiPriority w:val="99"/>
    <w:rsid w:val="00D6306D"/>
    <w:pPr>
      <w:widowControl w:val="0"/>
      <w:tabs>
        <w:tab w:val="left" w:pos="198"/>
      </w:tabs>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b1f-fb1f-">
    <w:name w:val="b1f- [f/b1/f-]"/>
    <w:uiPriority w:val="99"/>
    <w:rsid w:val="00D6306D"/>
    <w:pPr>
      <w:widowControl w:val="0"/>
      <w:tabs>
        <w:tab w:val="left" w:pos="198"/>
      </w:tabs>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formel">
    <w:name w:val="formel"/>
    <w:uiPriority w:val="99"/>
    <w:rsid w:val="00D6306D"/>
    <w:pPr>
      <w:widowControl w:val="0"/>
      <w:tabs>
        <w:tab w:val="left" w:pos="567"/>
      </w:tabs>
      <w:autoSpaceDE w:val="0"/>
      <w:autoSpaceDN w:val="0"/>
      <w:adjustRightInd w:val="0"/>
      <w:spacing w:before="280" w:after="280" w:line="280" w:lineRule="atLeast"/>
      <w:ind w:left="567" w:hanging="567"/>
    </w:pPr>
    <w:rPr>
      <w:rFonts w:ascii="RotisSemiSans" w:eastAsia="Times New Roman" w:hAnsi="RotisSemiSans" w:cs="RotisSemiSans"/>
      <w:color w:val="01FFFF"/>
      <w:sz w:val="21"/>
      <w:szCs w:val="21"/>
      <w:lang w:val="pl-PL" w:eastAsia="pl-PL"/>
    </w:rPr>
  </w:style>
  <w:style w:type="paragraph" w:customStyle="1" w:styleId="k1f-fk1f-">
    <w:name w:val="k1f- [f/k1/f-]"/>
    <w:uiPriority w:val="99"/>
    <w:rsid w:val="00D6306D"/>
    <w:pPr>
      <w:widowControl w:val="0"/>
      <w:tabs>
        <w:tab w:val="left" w:pos="283"/>
      </w:tabs>
      <w:autoSpaceDE w:val="0"/>
      <w:autoSpaceDN w:val="0"/>
      <w:adjustRightInd w:val="0"/>
      <w:spacing w:after="0" w:line="260" w:lineRule="exact"/>
    </w:pPr>
    <w:rPr>
      <w:rFonts w:ascii="RotisSansSerif" w:eastAsia="Times New Roman" w:hAnsi="RotisSansSerif" w:cs="RotisSansSerif"/>
      <w:sz w:val="20"/>
      <w:szCs w:val="20"/>
      <w:lang w:val="pl-PL" w:eastAsia="pl-PL"/>
    </w:rPr>
  </w:style>
  <w:style w:type="paragraph" w:customStyle="1" w:styleId="m2mm2">
    <w:name w:val="m2 [m/m/2]"/>
    <w:uiPriority w:val="99"/>
    <w:rsid w:val="00D6306D"/>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 w:type="paragraph" w:customStyle="1" w:styleId="mtmmt">
    <w:name w:val="mt [m/m/t]"/>
    <w:uiPriority w:val="99"/>
    <w:rsid w:val="00D6306D"/>
    <w:pPr>
      <w:widowControl w:val="0"/>
      <w:tabs>
        <w:tab w:val="left" w:pos="198"/>
      </w:tabs>
      <w:autoSpaceDE w:val="0"/>
      <w:autoSpaceDN w:val="0"/>
      <w:adjustRightInd w:val="0"/>
      <w:spacing w:before="240" w:after="0" w:line="240" w:lineRule="exact"/>
      <w:jc w:val="both"/>
    </w:pPr>
    <w:rPr>
      <w:rFonts w:ascii="RotisSansSerif" w:eastAsia="Times New Roman" w:hAnsi="RotisSansSerif" w:cs="RotisSansSerif"/>
      <w:sz w:val="20"/>
      <w:szCs w:val="20"/>
      <w:lang w:val="pl-PL" w:eastAsia="pl-PL"/>
    </w:rPr>
  </w:style>
  <w:style w:type="paragraph" w:customStyle="1" w:styleId="Oppgaveb1f">
    <w:name w:val="Oppgave b1f"/>
    <w:uiPriority w:val="99"/>
    <w:rsid w:val="00D6306D"/>
    <w:pPr>
      <w:widowControl w:val="0"/>
      <w:tabs>
        <w:tab w:val="left" w:pos="198"/>
      </w:tabs>
      <w:autoSpaceDE w:val="0"/>
      <w:autoSpaceDN w:val="0"/>
      <w:adjustRightInd w:val="0"/>
      <w:spacing w:before="280" w:after="0" w:line="280" w:lineRule="exact"/>
      <w:jc w:val="both"/>
    </w:pPr>
    <w:rPr>
      <w:rFonts w:ascii="RotisSansSerif" w:eastAsia="Times New Roman" w:hAnsi="RotisSansSerif" w:cs="RotisSansSerif"/>
      <w:sz w:val="21"/>
      <w:szCs w:val="21"/>
      <w:lang w:val="pl-PL" w:eastAsia="pl-PL"/>
    </w:rPr>
  </w:style>
  <w:style w:type="paragraph" w:customStyle="1" w:styleId="Oppgaveb1f-">
    <w:name w:val="Oppgave b1f-"/>
    <w:uiPriority w:val="99"/>
    <w:rsid w:val="00D6306D"/>
    <w:pPr>
      <w:widowControl w:val="0"/>
      <w:tabs>
        <w:tab w:val="left" w:pos="198"/>
      </w:tabs>
      <w:autoSpaceDE w:val="0"/>
      <w:autoSpaceDN w:val="0"/>
      <w:adjustRightInd w:val="0"/>
      <w:spacing w:after="0" w:line="280" w:lineRule="exact"/>
      <w:jc w:val="both"/>
    </w:pPr>
    <w:rPr>
      <w:rFonts w:ascii="RotisSansSerif" w:eastAsia="Times New Roman" w:hAnsi="RotisSansSerif" w:cs="RotisSansSerif"/>
      <w:sz w:val="21"/>
      <w:szCs w:val="21"/>
      <w:lang w:val="pl-PL" w:eastAsia="pl-PL"/>
    </w:rPr>
  </w:style>
  <w:style w:type="paragraph" w:customStyle="1" w:styleId="Oppgavebi">
    <w:name w:val="Oppgave bi"/>
    <w:uiPriority w:val="99"/>
    <w:rsid w:val="00D6306D"/>
    <w:pPr>
      <w:widowControl w:val="0"/>
      <w:tabs>
        <w:tab w:val="left" w:pos="283"/>
      </w:tabs>
      <w:autoSpaceDE w:val="0"/>
      <w:autoSpaceDN w:val="0"/>
      <w:adjustRightInd w:val="0"/>
      <w:spacing w:after="0" w:line="280" w:lineRule="exact"/>
      <w:ind w:left="283" w:hanging="283"/>
      <w:jc w:val="both"/>
    </w:pPr>
    <w:rPr>
      <w:rFonts w:ascii="RotisSansSerif" w:eastAsia="Times New Roman" w:hAnsi="RotisSansSerif" w:cs="RotisSansSerif"/>
      <w:sz w:val="21"/>
      <w:szCs w:val="21"/>
      <w:lang w:val="pl-PL" w:eastAsia="pl-PL"/>
    </w:rPr>
  </w:style>
  <w:style w:type="character" w:styleId="Merknadsreferanse">
    <w:name w:val="annotation reference"/>
    <w:basedOn w:val="Standardskriftforavsnitt"/>
    <w:uiPriority w:val="99"/>
    <w:semiHidden/>
    <w:unhideWhenUsed/>
    <w:rsid w:val="00D6306D"/>
    <w:rPr>
      <w:sz w:val="16"/>
      <w:szCs w:val="16"/>
    </w:rPr>
  </w:style>
  <w:style w:type="paragraph" w:styleId="Bobletekst">
    <w:name w:val="Balloon Text"/>
    <w:basedOn w:val="Normal"/>
    <w:link w:val="BobletekstTegn"/>
    <w:uiPriority w:val="99"/>
    <w:semiHidden/>
    <w:unhideWhenUsed/>
    <w:rsid w:val="00D6306D"/>
    <w:rPr>
      <w:rFonts w:ascii="Tahoma" w:hAnsi="Tahoma" w:cs="Tahoma"/>
      <w:sz w:val="16"/>
      <w:szCs w:val="16"/>
    </w:rPr>
  </w:style>
  <w:style w:type="character" w:customStyle="1" w:styleId="BobletekstTegn">
    <w:name w:val="Bobletekst Tegn"/>
    <w:basedOn w:val="Standardskriftforavsnitt"/>
    <w:link w:val="Bobletekst"/>
    <w:uiPriority w:val="99"/>
    <w:semiHidden/>
    <w:rsid w:val="00D6306D"/>
    <w:rPr>
      <w:rFonts w:ascii="Tahoma" w:eastAsia="Times New Roman" w:hAnsi="Tahoma" w:cs="Tahoma"/>
      <w:noProof/>
      <w:sz w:val="16"/>
      <w:szCs w:val="16"/>
      <w:lang w:val="nb-NO" w:eastAsia="nb-NO"/>
    </w:rPr>
  </w:style>
  <w:style w:type="paragraph" w:styleId="Merknadstekst">
    <w:name w:val="annotation text"/>
    <w:basedOn w:val="Normal"/>
    <w:link w:val="MerknadstekstTegn"/>
    <w:uiPriority w:val="99"/>
    <w:semiHidden/>
    <w:unhideWhenUsed/>
    <w:rsid w:val="00D6306D"/>
    <w:pPr>
      <w:widowControl w:val="0"/>
      <w:autoSpaceDE w:val="0"/>
      <w:autoSpaceDN w:val="0"/>
      <w:adjustRightInd w:val="0"/>
    </w:pPr>
    <w:rPr>
      <w:rFonts w:eastAsiaTheme="minorEastAsia"/>
      <w:noProof w:val="0"/>
      <w:sz w:val="20"/>
      <w:lang w:val="pl-PL" w:eastAsia="pl-PL"/>
    </w:rPr>
  </w:style>
  <w:style w:type="character" w:customStyle="1" w:styleId="MerknadstekstTegn">
    <w:name w:val="Merknadstekst Tegn"/>
    <w:basedOn w:val="Standardskriftforavsnitt"/>
    <w:link w:val="Merknadstekst"/>
    <w:uiPriority w:val="99"/>
    <w:semiHidden/>
    <w:rsid w:val="00D6306D"/>
    <w:rPr>
      <w:rFonts w:ascii="Times New Roman" w:eastAsiaTheme="minorEastAsia" w:hAnsi="Times New Roman" w:cs="Times New Roman"/>
      <w:sz w:val="20"/>
      <w:szCs w:val="20"/>
      <w:lang w:val="pl-PL" w:eastAsia="pl-PL"/>
    </w:rPr>
  </w:style>
  <w:style w:type="character" w:styleId="Hyperkobling">
    <w:name w:val="Hyperlink"/>
    <w:basedOn w:val="Standardskriftforavsnitt"/>
    <w:uiPriority w:val="99"/>
    <w:unhideWhenUsed/>
    <w:rsid w:val="00D6306D"/>
    <w:rPr>
      <w:color w:val="0000FF" w:themeColor="hyperlink"/>
      <w:u w:val="single"/>
    </w:rPr>
  </w:style>
  <w:style w:type="character" w:styleId="Fulgthyperkobling">
    <w:name w:val="FollowedHyperlink"/>
    <w:basedOn w:val="Standardskriftforavsnitt"/>
    <w:uiPriority w:val="99"/>
    <w:semiHidden/>
    <w:unhideWhenUsed/>
    <w:rsid w:val="00487330"/>
    <w:rPr>
      <w:color w:val="800080" w:themeColor="followedHyperlink"/>
      <w:u w:val="single"/>
    </w:rPr>
  </w:style>
  <w:style w:type="paragraph" w:styleId="Listeavsnitt">
    <w:name w:val="List Paragraph"/>
    <w:basedOn w:val="Normal"/>
    <w:uiPriority w:val="34"/>
    <w:qFormat/>
    <w:rsid w:val="00487330"/>
    <w:pPr>
      <w:spacing w:line="276" w:lineRule="auto"/>
      <w:ind w:left="720"/>
      <w:contextualSpacing/>
    </w:pPr>
    <w:rPr>
      <w:rFonts w:asciiTheme="minorHAnsi" w:eastAsiaTheme="minorHAnsi" w:hAnsiTheme="minorHAnsi" w:cstheme="minorBidi"/>
      <w:noProof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94"/>
    <w:pPr>
      <w:spacing w:after="0" w:line="240" w:lineRule="auto"/>
    </w:pPr>
    <w:rPr>
      <w:rFonts w:ascii="Times New Roman" w:eastAsia="Times New Roman" w:hAnsi="Times New Roman" w:cs="Times New Roman"/>
      <w:noProof/>
      <w:sz w:val="24"/>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1fa1">
    <w:name w:val="a1 [f/a1/]"/>
    <w:uiPriority w:val="99"/>
    <w:rsid w:val="00155394"/>
    <w:pPr>
      <w:widowControl w:val="0"/>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a1ffa1f">
    <w:name w:val="a1f [f/a1/f]"/>
    <w:uiPriority w:val="99"/>
    <w:rsid w:val="00155394"/>
    <w:pPr>
      <w:widowControl w:val="0"/>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a1tfa1t">
    <w:name w:val="a1t [f/a1/t]"/>
    <w:uiPriority w:val="99"/>
    <w:rsid w:val="00155394"/>
    <w:pPr>
      <w:widowControl w:val="0"/>
      <w:tabs>
        <w:tab w:val="left" w:pos="454"/>
        <w:tab w:val="left" w:pos="850"/>
        <w:tab w:val="left" w:pos="7200"/>
        <w:tab w:val="left" w:pos="7920"/>
        <w:tab w:val="left" w:pos="8640"/>
      </w:tabs>
      <w:autoSpaceDE w:val="0"/>
      <w:autoSpaceDN w:val="0"/>
      <w:adjustRightInd w:val="0"/>
      <w:spacing w:after="0" w:line="200" w:lineRule="atLeast"/>
    </w:pPr>
    <w:rPr>
      <w:rFonts w:ascii="RotisSemiSans ExtraBold" w:eastAsia="Times New Roman" w:hAnsi="RotisSemiSans ExtraBold" w:cs="RotisSemiSans ExtraBold"/>
      <w:caps/>
      <w:spacing w:val="10"/>
      <w:sz w:val="20"/>
      <w:szCs w:val="20"/>
      <w:lang w:val="pl-PL" w:eastAsia="pl-PL"/>
    </w:rPr>
  </w:style>
  <w:style w:type="paragraph" w:customStyle="1" w:styleId="formelunr">
    <w:name w:val="formel u nr"/>
    <w:uiPriority w:val="99"/>
    <w:rsid w:val="00155394"/>
    <w:pPr>
      <w:widowControl w:val="0"/>
      <w:tabs>
        <w:tab w:val="left" w:pos="283"/>
      </w:tabs>
      <w:autoSpaceDE w:val="0"/>
      <w:autoSpaceDN w:val="0"/>
      <w:adjustRightInd w:val="0"/>
      <w:spacing w:before="160" w:after="280" w:line="280" w:lineRule="atLeast"/>
      <w:ind w:left="567"/>
    </w:pPr>
    <w:rPr>
      <w:rFonts w:ascii="RotisSerif" w:eastAsia="Times New Roman" w:hAnsi="RotisSerif" w:cs="RotisSerif"/>
      <w:sz w:val="21"/>
      <w:szCs w:val="21"/>
      <w:lang w:val="pl-PL" w:eastAsia="pl-PL"/>
    </w:rPr>
  </w:style>
  <w:style w:type="table" w:styleId="Tabellrutenett">
    <w:name w:val="Table Grid"/>
    <w:basedOn w:val="Vanligtabell"/>
    <w:uiPriority w:val="59"/>
    <w:rsid w:val="00155394"/>
    <w:pPr>
      <w:spacing w:after="0" w:line="240" w:lineRule="auto"/>
    </w:pPr>
    <w:rPr>
      <w:rFonts w:ascii="Calibri" w:eastAsia="Times New Roman" w:hAnsi="Calibri" w:cs="Times New Roman"/>
      <w:sz w:val="20"/>
      <w:szCs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snittsoverskrift">
    <w:name w:val="Avsnittsoverskrift"/>
    <w:basedOn w:val="Normal"/>
    <w:rsid w:val="00155394"/>
    <w:pPr>
      <w:tabs>
        <w:tab w:val="left" w:pos="454"/>
        <w:tab w:val="left" w:pos="7200"/>
        <w:tab w:val="left" w:pos="7920"/>
        <w:tab w:val="left" w:pos="8640"/>
      </w:tabs>
      <w:spacing w:line="260" w:lineRule="exact"/>
      <w:jc w:val="both"/>
    </w:pPr>
    <w:rPr>
      <w:rFonts w:ascii="Arial Black" w:hAnsi="Arial Black"/>
      <w:caps/>
      <w:sz w:val="18"/>
    </w:rPr>
  </w:style>
  <w:style w:type="paragraph" w:customStyle="1" w:styleId="a1f-fa1f-">
    <w:name w:val="a1f- [f/a1/f-]"/>
    <w:uiPriority w:val="99"/>
    <w:rsid w:val="00D6306D"/>
    <w:pPr>
      <w:widowControl w:val="0"/>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b1fb1">
    <w:name w:val="b1 [f/b1/]"/>
    <w:uiPriority w:val="99"/>
    <w:rsid w:val="00D6306D"/>
    <w:pPr>
      <w:widowControl w:val="0"/>
      <w:tabs>
        <w:tab w:val="left" w:pos="198"/>
      </w:tabs>
      <w:autoSpaceDE w:val="0"/>
      <w:autoSpaceDN w:val="0"/>
      <w:adjustRightInd w:val="0"/>
      <w:spacing w:after="0" w:line="280" w:lineRule="exact"/>
      <w:ind w:firstLine="283"/>
      <w:jc w:val="both"/>
    </w:pPr>
    <w:rPr>
      <w:rFonts w:ascii="RotisSerif" w:eastAsia="Times New Roman" w:hAnsi="RotisSerif" w:cs="RotisSerif"/>
      <w:sz w:val="21"/>
      <w:szCs w:val="21"/>
      <w:lang w:val="pl-PL" w:eastAsia="pl-PL"/>
    </w:rPr>
  </w:style>
  <w:style w:type="paragraph" w:customStyle="1" w:styleId="b1ffb1f">
    <w:name w:val="b1f [f/b1/f]"/>
    <w:uiPriority w:val="99"/>
    <w:rsid w:val="00D6306D"/>
    <w:pPr>
      <w:widowControl w:val="0"/>
      <w:tabs>
        <w:tab w:val="left" w:pos="198"/>
      </w:tabs>
      <w:autoSpaceDE w:val="0"/>
      <w:autoSpaceDN w:val="0"/>
      <w:adjustRightInd w:val="0"/>
      <w:spacing w:before="280" w:after="0" w:line="280" w:lineRule="exact"/>
      <w:jc w:val="both"/>
    </w:pPr>
    <w:rPr>
      <w:rFonts w:ascii="RotisSerif" w:eastAsia="Times New Roman" w:hAnsi="RotisSerif" w:cs="RotisSerif"/>
      <w:sz w:val="21"/>
      <w:szCs w:val="21"/>
      <w:lang w:val="pl-PL" w:eastAsia="pl-PL"/>
    </w:rPr>
  </w:style>
  <w:style w:type="paragraph" w:customStyle="1" w:styleId="b1f-fb1f-">
    <w:name w:val="b1f- [f/b1/f-]"/>
    <w:uiPriority w:val="99"/>
    <w:rsid w:val="00D6306D"/>
    <w:pPr>
      <w:widowControl w:val="0"/>
      <w:tabs>
        <w:tab w:val="left" w:pos="198"/>
      </w:tabs>
      <w:autoSpaceDE w:val="0"/>
      <w:autoSpaceDN w:val="0"/>
      <w:adjustRightInd w:val="0"/>
      <w:spacing w:after="0" w:line="280" w:lineRule="exact"/>
      <w:jc w:val="both"/>
    </w:pPr>
    <w:rPr>
      <w:rFonts w:ascii="RotisSerif" w:eastAsia="Times New Roman" w:hAnsi="RotisSerif" w:cs="RotisSerif"/>
      <w:sz w:val="21"/>
      <w:szCs w:val="21"/>
      <w:lang w:val="pl-PL" w:eastAsia="pl-PL"/>
    </w:rPr>
  </w:style>
  <w:style w:type="paragraph" w:customStyle="1" w:styleId="formel">
    <w:name w:val="formel"/>
    <w:uiPriority w:val="99"/>
    <w:rsid w:val="00D6306D"/>
    <w:pPr>
      <w:widowControl w:val="0"/>
      <w:tabs>
        <w:tab w:val="left" w:pos="567"/>
      </w:tabs>
      <w:autoSpaceDE w:val="0"/>
      <w:autoSpaceDN w:val="0"/>
      <w:adjustRightInd w:val="0"/>
      <w:spacing w:before="280" w:after="280" w:line="280" w:lineRule="atLeast"/>
      <w:ind w:left="567" w:hanging="567"/>
    </w:pPr>
    <w:rPr>
      <w:rFonts w:ascii="RotisSemiSans" w:eastAsia="Times New Roman" w:hAnsi="RotisSemiSans" w:cs="RotisSemiSans"/>
      <w:color w:val="01FFFF"/>
      <w:sz w:val="21"/>
      <w:szCs w:val="21"/>
      <w:lang w:val="pl-PL" w:eastAsia="pl-PL"/>
    </w:rPr>
  </w:style>
  <w:style w:type="paragraph" w:customStyle="1" w:styleId="k1f-fk1f-">
    <w:name w:val="k1f- [f/k1/f-]"/>
    <w:uiPriority w:val="99"/>
    <w:rsid w:val="00D6306D"/>
    <w:pPr>
      <w:widowControl w:val="0"/>
      <w:tabs>
        <w:tab w:val="left" w:pos="283"/>
      </w:tabs>
      <w:autoSpaceDE w:val="0"/>
      <w:autoSpaceDN w:val="0"/>
      <w:adjustRightInd w:val="0"/>
      <w:spacing w:after="0" w:line="260" w:lineRule="exact"/>
    </w:pPr>
    <w:rPr>
      <w:rFonts w:ascii="RotisSansSerif" w:eastAsia="Times New Roman" w:hAnsi="RotisSansSerif" w:cs="RotisSansSerif"/>
      <w:sz w:val="20"/>
      <w:szCs w:val="20"/>
      <w:lang w:val="pl-PL" w:eastAsia="pl-PL"/>
    </w:rPr>
  </w:style>
  <w:style w:type="paragraph" w:customStyle="1" w:styleId="m2mm2">
    <w:name w:val="m2 [m/m/2]"/>
    <w:uiPriority w:val="99"/>
    <w:rsid w:val="00D6306D"/>
    <w:pPr>
      <w:keepNext/>
      <w:widowControl w:val="0"/>
      <w:tabs>
        <w:tab w:val="right" w:pos="567"/>
        <w:tab w:val="left" w:pos="794"/>
      </w:tabs>
      <w:autoSpaceDE w:val="0"/>
      <w:autoSpaceDN w:val="0"/>
      <w:adjustRightInd w:val="0"/>
      <w:spacing w:before="760" w:after="0" w:line="380" w:lineRule="atLeast"/>
      <w:ind w:left="794" w:hanging="794"/>
    </w:pPr>
    <w:rPr>
      <w:rFonts w:ascii="Kievit-Medium" w:eastAsia="Times New Roman" w:hAnsi="Kievit-Medium" w:cs="Kievit-Medium"/>
      <w:color w:val="01FFFF"/>
      <w:sz w:val="32"/>
      <w:szCs w:val="32"/>
      <w:lang w:val="pl-PL" w:eastAsia="pl-PL"/>
    </w:rPr>
  </w:style>
  <w:style w:type="paragraph" w:customStyle="1" w:styleId="mtmmt">
    <w:name w:val="mt [m/m/t]"/>
    <w:uiPriority w:val="99"/>
    <w:rsid w:val="00D6306D"/>
    <w:pPr>
      <w:widowControl w:val="0"/>
      <w:tabs>
        <w:tab w:val="left" w:pos="198"/>
      </w:tabs>
      <w:autoSpaceDE w:val="0"/>
      <w:autoSpaceDN w:val="0"/>
      <w:adjustRightInd w:val="0"/>
      <w:spacing w:before="240" w:after="0" w:line="240" w:lineRule="exact"/>
      <w:jc w:val="both"/>
    </w:pPr>
    <w:rPr>
      <w:rFonts w:ascii="RotisSansSerif" w:eastAsia="Times New Roman" w:hAnsi="RotisSansSerif" w:cs="RotisSansSerif"/>
      <w:sz w:val="20"/>
      <w:szCs w:val="20"/>
      <w:lang w:val="pl-PL" w:eastAsia="pl-PL"/>
    </w:rPr>
  </w:style>
  <w:style w:type="paragraph" w:customStyle="1" w:styleId="Oppgaveb1f">
    <w:name w:val="Oppgave b1f"/>
    <w:uiPriority w:val="99"/>
    <w:rsid w:val="00D6306D"/>
    <w:pPr>
      <w:widowControl w:val="0"/>
      <w:tabs>
        <w:tab w:val="left" w:pos="198"/>
      </w:tabs>
      <w:autoSpaceDE w:val="0"/>
      <w:autoSpaceDN w:val="0"/>
      <w:adjustRightInd w:val="0"/>
      <w:spacing w:before="280" w:after="0" w:line="280" w:lineRule="exact"/>
      <w:jc w:val="both"/>
    </w:pPr>
    <w:rPr>
      <w:rFonts w:ascii="RotisSansSerif" w:eastAsia="Times New Roman" w:hAnsi="RotisSansSerif" w:cs="RotisSansSerif"/>
      <w:sz w:val="21"/>
      <w:szCs w:val="21"/>
      <w:lang w:val="pl-PL" w:eastAsia="pl-PL"/>
    </w:rPr>
  </w:style>
  <w:style w:type="paragraph" w:customStyle="1" w:styleId="Oppgaveb1f-">
    <w:name w:val="Oppgave b1f-"/>
    <w:uiPriority w:val="99"/>
    <w:rsid w:val="00D6306D"/>
    <w:pPr>
      <w:widowControl w:val="0"/>
      <w:tabs>
        <w:tab w:val="left" w:pos="198"/>
      </w:tabs>
      <w:autoSpaceDE w:val="0"/>
      <w:autoSpaceDN w:val="0"/>
      <w:adjustRightInd w:val="0"/>
      <w:spacing w:after="0" w:line="280" w:lineRule="exact"/>
      <w:jc w:val="both"/>
    </w:pPr>
    <w:rPr>
      <w:rFonts w:ascii="RotisSansSerif" w:eastAsia="Times New Roman" w:hAnsi="RotisSansSerif" w:cs="RotisSansSerif"/>
      <w:sz w:val="21"/>
      <w:szCs w:val="21"/>
      <w:lang w:val="pl-PL" w:eastAsia="pl-PL"/>
    </w:rPr>
  </w:style>
  <w:style w:type="paragraph" w:customStyle="1" w:styleId="Oppgavebi">
    <w:name w:val="Oppgave bi"/>
    <w:uiPriority w:val="99"/>
    <w:rsid w:val="00D6306D"/>
    <w:pPr>
      <w:widowControl w:val="0"/>
      <w:tabs>
        <w:tab w:val="left" w:pos="283"/>
      </w:tabs>
      <w:autoSpaceDE w:val="0"/>
      <w:autoSpaceDN w:val="0"/>
      <w:adjustRightInd w:val="0"/>
      <w:spacing w:after="0" w:line="280" w:lineRule="exact"/>
      <w:ind w:left="283" w:hanging="283"/>
      <w:jc w:val="both"/>
    </w:pPr>
    <w:rPr>
      <w:rFonts w:ascii="RotisSansSerif" w:eastAsia="Times New Roman" w:hAnsi="RotisSansSerif" w:cs="RotisSansSerif"/>
      <w:sz w:val="21"/>
      <w:szCs w:val="21"/>
      <w:lang w:val="pl-PL" w:eastAsia="pl-PL"/>
    </w:rPr>
  </w:style>
  <w:style w:type="character" w:styleId="Merknadsreferanse">
    <w:name w:val="annotation reference"/>
    <w:basedOn w:val="Standardskriftforavsnitt"/>
    <w:uiPriority w:val="99"/>
    <w:semiHidden/>
    <w:unhideWhenUsed/>
    <w:rsid w:val="00D6306D"/>
    <w:rPr>
      <w:sz w:val="16"/>
      <w:szCs w:val="16"/>
    </w:rPr>
  </w:style>
  <w:style w:type="paragraph" w:styleId="Bobletekst">
    <w:name w:val="Balloon Text"/>
    <w:basedOn w:val="Normal"/>
    <w:link w:val="BobletekstTegn"/>
    <w:uiPriority w:val="99"/>
    <w:semiHidden/>
    <w:unhideWhenUsed/>
    <w:rsid w:val="00D6306D"/>
    <w:rPr>
      <w:rFonts w:ascii="Tahoma" w:hAnsi="Tahoma" w:cs="Tahoma"/>
      <w:sz w:val="16"/>
      <w:szCs w:val="16"/>
    </w:rPr>
  </w:style>
  <w:style w:type="character" w:customStyle="1" w:styleId="BobletekstTegn">
    <w:name w:val="Bobletekst Tegn"/>
    <w:basedOn w:val="Standardskriftforavsnitt"/>
    <w:link w:val="Bobletekst"/>
    <w:uiPriority w:val="99"/>
    <w:semiHidden/>
    <w:rsid w:val="00D6306D"/>
    <w:rPr>
      <w:rFonts w:ascii="Tahoma" w:eastAsia="Times New Roman" w:hAnsi="Tahoma" w:cs="Tahoma"/>
      <w:noProof/>
      <w:sz w:val="16"/>
      <w:szCs w:val="16"/>
      <w:lang w:val="nb-NO" w:eastAsia="nb-NO"/>
    </w:rPr>
  </w:style>
  <w:style w:type="paragraph" w:styleId="Merknadstekst">
    <w:name w:val="annotation text"/>
    <w:basedOn w:val="Normal"/>
    <w:link w:val="MerknadstekstTegn"/>
    <w:uiPriority w:val="99"/>
    <w:semiHidden/>
    <w:unhideWhenUsed/>
    <w:rsid w:val="00D6306D"/>
    <w:pPr>
      <w:widowControl w:val="0"/>
      <w:autoSpaceDE w:val="0"/>
      <w:autoSpaceDN w:val="0"/>
      <w:adjustRightInd w:val="0"/>
    </w:pPr>
    <w:rPr>
      <w:rFonts w:eastAsiaTheme="minorEastAsia"/>
      <w:noProof w:val="0"/>
      <w:sz w:val="20"/>
      <w:lang w:val="pl-PL" w:eastAsia="pl-PL"/>
    </w:rPr>
  </w:style>
  <w:style w:type="character" w:customStyle="1" w:styleId="MerknadstekstTegn">
    <w:name w:val="Merknadstekst Tegn"/>
    <w:basedOn w:val="Standardskriftforavsnitt"/>
    <w:link w:val="Merknadstekst"/>
    <w:uiPriority w:val="99"/>
    <w:semiHidden/>
    <w:rsid w:val="00D6306D"/>
    <w:rPr>
      <w:rFonts w:ascii="Times New Roman" w:eastAsiaTheme="minorEastAsia" w:hAnsi="Times New Roman" w:cs="Times New Roman"/>
      <w:sz w:val="20"/>
      <w:szCs w:val="20"/>
      <w:lang w:val="pl-PL" w:eastAsia="pl-PL"/>
    </w:rPr>
  </w:style>
  <w:style w:type="character" w:styleId="Hyperkobling">
    <w:name w:val="Hyperlink"/>
    <w:basedOn w:val="Standardskriftforavsnitt"/>
    <w:uiPriority w:val="99"/>
    <w:unhideWhenUsed/>
    <w:rsid w:val="00D6306D"/>
    <w:rPr>
      <w:color w:val="0000FF" w:themeColor="hyperlink"/>
      <w:u w:val="single"/>
    </w:rPr>
  </w:style>
  <w:style w:type="character" w:styleId="Fulgthyperkobling">
    <w:name w:val="FollowedHyperlink"/>
    <w:basedOn w:val="Standardskriftforavsnitt"/>
    <w:uiPriority w:val="99"/>
    <w:semiHidden/>
    <w:unhideWhenUsed/>
    <w:rsid w:val="00487330"/>
    <w:rPr>
      <w:color w:val="800080" w:themeColor="followedHyperlink"/>
      <w:u w:val="single"/>
    </w:rPr>
  </w:style>
  <w:style w:type="paragraph" w:styleId="Listeavsnitt">
    <w:name w:val="List Paragraph"/>
    <w:basedOn w:val="Normal"/>
    <w:uiPriority w:val="34"/>
    <w:qFormat/>
    <w:rsid w:val="00487330"/>
    <w:pPr>
      <w:spacing w:line="276" w:lineRule="auto"/>
      <w:ind w:left="720"/>
      <w:contextualSpacing/>
    </w:pPr>
    <w:rPr>
      <w:rFonts w:asciiTheme="minorHAnsi" w:eastAsiaTheme="minorHAnsi" w:hAnsi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folio.no/download/91669fa9-1a20-46d4-8770-99eb50c502b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1882</Characters>
  <Application>Microsoft Office Word</Application>
  <DocSecurity>0</DocSecurity>
  <Lines>52</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Golinska</dc:creator>
  <cp:lastModifiedBy>Malgorzata Golinska</cp:lastModifiedBy>
  <cp:revision>2</cp:revision>
  <dcterms:created xsi:type="dcterms:W3CDTF">2015-11-24T08:00:00Z</dcterms:created>
  <dcterms:modified xsi:type="dcterms:W3CDTF">2015-11-24T08:00:00Z</dcterms:modified>
</cp:coreProperties>
</file>